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964720">
      <w:pPr>
        <w:pStyle w:val="3"/>
        <w:keepNext w:val="0"/>
        <w:keepLines w:val="0"/>
        <w:pageBreakBefore w:val="0"/>
        <w:widowControl w:val="0"/>
        <w:kinsoku/>
        <w:wordWrap/>
        <w:overflowPunct/>
        <w:topLinePunct w:val="0"/>
        <w:autoSpaceDE/>
        <w:autoSpaceDN/>
        <w:bidi w:val="0"/>
        <w:adjustRightInd/>
        <w:snapToGrid/>
        <w:spacing w:beforeLines="0" w:afterLines="0" w:line="578" w:lineRule="exact"/>
        <w:jc w:val="center"/>
        <w:textAlignment w:val="auto"/>
        <w:rPr>
          <w:rFonts w:hint="default" w:ascii="Times New Roman" w:hAnsi="Times New Roman" w:cs="Times New Roman"/>
          <w:highlight w:val="none"/>
          <w:lang w:val="en-US" w:eastAsia="zh-CN"/>
        </w:rPr>
      </w:pPr>
      <w:bookmarkStart w:id="1" w:name="_GoBack"/>
      <w:r>
        <w:rPr>
          <w:rFonts w:hint="default" w:ascii="Times New Roman" w:hAnsi="Times New Roman" w:cs="Times New Roman"/>
          <w:lang w:val="en-US" w:eastAsia="zh-CN"/>
        </w:rPr>
        <w:t>电力</w:t>
      </w:r>
      <w:r>
        <w:rPr>
          <w:rFonts w:hint="default" w:ascii="Times New Roman" w:hAnsi="Times New Roman" w:cs="Times New Roman"/>
          <w:highlight w:val="none"/>
          <w:lang w:val="en-US" w:eastAsia="zh-CN"/>
        </w:rPr>
        <w:t>企业</w:t>
      </w:r>
      <w:r>
        <w:rPr>
          <w:rFonts w:hint="eastAsia" w:ascii="Times New Roman" w:hAnsi="Times New Roman" w:cs="Times New Roman"/>
          <w:b w:val="0"/>
          <w:bCs/>
          <w:highlight w:val="none"/>
          <w:lang w:val="en-US" w:eastAsia="zh-CN"/>
        </w:rPr>
        <w:t>涉电</w:t>
      </w:r>
      <w:r>
        <w:rPr>
          <w:rFonts w:hint="default" w:ascii="Times New Roman" w:hAnsi="Times New Roman" w:cs="Times New Roman"/>
          <w:highlight w:val="none"/>
          <w:lang w:val="en-US" w:eastAsia="zh-CN"/>
        </w:rPr>
        <w:t>应急预案管理办法</w:t>
      </w:r>
      <w:bookmarkEnd w:id="1"/>
    </w:p>
    <w:p w14:paraId="207D6FA4">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highlight w:val="none"/>
          <w:lang w:val="en-US" w:eastAsia="zh-CN"/>
        </w:rPr>
      </w:pPr>
    </w:p>
    <w:p w14:paraId="703B663B">
      <w:pPr>
        <w:pStyle w:val="4"/>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578" w:lineRule="exact"/>
        <w:jc w:val="center"/>
        <w:textAlignment w:val="auto"/>
        <w:rPr>
          <w:rFonts w:hint="default" w:ascii="Times New Roman" w:hAnsi="Times New Roman" w:cs="Times New Roman"/>
          <w:highlight w:val="none"/>
        </w:rPr>
      </w:pPr>
      <w:bookmarkStart w:id="0" w:name="_Toc132"/>
      <w:r>
        <w:rPr>
          <w:rFonts w:hint="default" w:ascii="Times New Roman" w:hAnsi="Times New Roman" w:cs="Times New Roman"/>
          <w:highlight w:val="none"/>
        </w:rPr>
        <w:t>第一章</w:t>
      </w:r>
      <w:r>
        <w:rPr>
          <w:rFonts w:hint="default" w:ascii="Times New Roman" w:hAnsi="Times New Roman" w:cs="Times New Roman"/>
          <w:highlight w:val="none"/>
          <w:lang w:val="en-US" w:eastAsia="zh-CN"/>
        </w:rPr>
        <w:t xml:space="preserve"> </w:t>
      </w:r>
      <w:r>
        <w:rPr>
          <w:rFonts w:hint="default" w:ascii="Times New Roman" w:hAnsi="Times New Roman" w:cs="Times New Roman"/>
          <w:highlight w:val="none"/>
        </w:rPr>
        <w:t>总</w:t>
      </w:r>
      <w:r>
        <w:rPr>
          <w:rFonts w:hint="eastAsia" w:ascii="Times New Roman" w:hAnsi="Times New Roman" w:cs="Times New Roman"/>
          <w:highlight w:val="none"/>
          <w:lang w:val="en-US" w:eastAsia="zh-CN"/>
        </w:rPr>
        <w:t xml:space="preserve"> </w:t>
      </w:r>
      <w:r>
        <w:rPr>
          <w:rFonts w:hint="default" w:ascii="Times New Roman" w:hAnsi="Times New Roman" w:cs="Times New Roman"/>
          <w:highlight w:val="none"/>
        </w:rPr>
        <w:t>则</w:t>
      </w:r>
      <w:bookmarkEnd w:id="0"/>
    </w:p>
    <w:p w14:paraId="7A91973A">
      <w:pPr>
        <w:keepNext w:val="0"/>
        <w:keepLines w:val="0"/>
        <w:pageBreakBefore w:val="0"/>
        <w:widowControl w:val="0"/>
        <w:numPr>
          <w:ilvl w:val="0"/>
          <w:numId w:val="1"/>
        </w:numPr>
        <w:shd w:val="clear" w:color="auto" w:fill="FFFFFF"/>
        <w:kinsoku/>
        <w:wordWrap/>
        <w:overflowPunct/>
        <w:topLinePunct w:val="0"/>
        <w:autoSpaceDE/>
        <w:autoSpaceDN/>
        <w:bidi w:val="0"/>
        <w:adjustRightInd/>
        <w:snapToGrid/>
        <w:spacing w:beforeLines="0" w:afterLines="0" w:line="578" w:lineRule="exact"/>
        <w:ind w:firstLine="640" w:firstLineChars="200"/>
        <w:jc w:val="both"/>
        <w:textAlignment w:val="auto"/>
        <w:rPr>
          <w:rFonts w:hint="default" w:ascii="Times New Roman" w:hAnsi="Times New Roman" w:eastAsia="仿宋_GB2312" w:cs="Times New Roman"/>
          <w:color w:val="000000"/>
          <w:kern w:val="0"/>
          <w:sz w:val="32"/>
          <w:szCs w:val="32"/>
          <w:highlight w:val="none"/>
          <w:lang w:val="en-US" w:eastAsia="zh-CN"/>
        </w:rPr>
      </w:pPr>
      <w:r>
        <w:rPr>
          <w:rFonts w:hint="default" w:ascii="Times New Roman" w:hAnsi="Times New Roman" w:eastAsia="仿宋_GB2312" w:cs="Times New Roman"/>
          <w:color w:val="000000"/>
          <w:kern w:val="0"/>
          <w:sz w:val="32"/>
          <w:szCs w:val="32"/>
          <w:highlight w:val="none"/>
          <w:lang w:val="en-US" w:eastAsia="zh-CN"/>
        </w:rPr>
        <w:t>为规范</w:t>
      </w:r>
      <w:r>
        <w:rPr>
          <w:rFonts w:hint="default" w:ascii="Times New Roman" w:hAnsi="Times New Roman" w:eastAsia="仿宋_GB2312" w:cs="Times New Roman"/>
          <w:color w:val="000000"/>
          <w:kern w:val="0"/>
          <w:sz w:val="32"/>
          <w:szCs w:val="32"/>
          <w:highlight w:val="none"/>
          <w:lang w:val="en-US" w:eastAsia="zh-CN"/>
        </w:rPr>
        <w:t>电力企业</w:t>
      </w:r>
      <w:r>
        <w:rPr>
          <w:rFonts w:hint="eastAsia" w:ascii="Times New Roman" w:hAnsi="Times New Roman" w:eastAsia="仿宋_GB2312" w:cs="Times New Roman"/>
          <w:color w:val="000000"/>
          <w:kern w:val="0"/>
          <w:sz w:val="32"/>
          <w:szCs w:val="32"/>
          <w:highlight w:val="none"/>
          <w:lang w:val="en-US" w:eastAsia="zh-CN"/>
        </w:rPr>
        <w:t>涉电</w:t>
      </w:r>
      <w:r>
        <w:rPr>
          <w:rFonts w:hint="default" w:ascii="Times New Roman" w:hAnsi="Times New Roman" w:eastAsia="仿宋_GB2312" w:cs="Times New Roman"/>
          <w:color w:val="000000"/>
          <w:kern w:val="0"/>
          <w:sz w:val="32"/>
          <w:szCs w:val="32"/>
          <w:highlight w:val="none"/>
          <w:lang w:val="en-US" w:eastAsia="zh-CN"/>
        </w:rPr>
        <w:t>应急预案</w:t>
      </w:r>
      <w:r>
        <w:rPr>
          <w:rFonts w:hint="default" w:ascii="Times New Roman" w:hAnsi="Times New Roman" w:eastAsia="仿宋_GB2312" w:cs="Times New Roman"/>
          <w:color w:val="000000"/>
          <w:kern w:val="0"/>
          <w:sz w:val="32"/>
          <w:szCs w:val="32"/>
          <w:highlight w:val="none"/>
          <w:lang w:val="en-US" w:eastAsia="zh-CN"/>
        </w:rPr>
        <w:t>管理工作，</w:t>
      </w:r>
      <w:r>
        <w:rPr>
          <w:rFonts w:hint="default" w:ascii="Times New Roman" w:hAnsi="Times New Roman" w:eastAsia="仿宋_GB2312" w:cs="Times New Roman"/>
          <w:color w:val="000000"/>
          <w:kern w:val="0"/>
          <w:sz w:val="32"/>
          <w:szCs w:val="32"/>
          <w:lang w:val="en-US" w:eastAsia="zh-CN"/>
        </w:rPr>
        <w:t>增强</w:t>
      </w:r>
      <w:r>
        <w:rPr>
          <w:rFonts w:hint="eastAsia" w:ascii="Times New Roman" w:hAnsi="Times New Roman" w:eastAsia="仿宋_GB2312" w:cs="Times New Roman"/>
          <w:color w:val="000000"/>
          <w:kern w:val="0"/>
          <w:sz w:val="32"/>
          <w:szCs w:val="32"/>
          <w:lang w:val="en-US" w:eastAsia="zh-CN"/>
        </w:rPr>
        <w:t>涉电</w:t>
      </w:r>
      <w:r>
        <w:rPr>
          <w:rFonts w:hint="default" w:ascii="Times New Roman" w:hAnsi="Times New Roman" w:eastAsia="仿宋_GB2312" w:cs="Times New Roman"/>
          <w:color w:val="000000"/>
          <w:kern w:val="0"/>
          <w:sz w:val="32"/>
          <w:szCs w:val="32"/>
          <w:lang w:val="en-US" w:eastAsia="zh-CN"/>
        </w:rPr>
        <w:t>应急预案的科学性、针对性、实效性和可操</w:t>
      </w:r>
      <w:r>
        <w:rPr>
          <w:rFonts w:hint="default" w:ascii="Times New Roman" w:hAnsi="Times New Roman" w:eastAsia="仿宋_GB2312" w:cs="Times New Roman"/>
          <w:color w:val="000000"/>
          <w:kern w:val="0"/>
          <w:sz w:val="32"/>
          <w:szCs w:val="32"/>
          <w:highlight w:val="none"/>
          <w:lang w:val="en-US" w:eastAsia="zh-CN"/>
        </w:rPr>
        <w:t>作性，依据《中华人民共和国突发事件应对法》</w:t>
      </w:r>
      <w:r>
        <w:rPr>
          <w:rFonts w:hint="default" w:ascii="Times New Roman" w:hAnsi="Times New Roman" w:eastAsia="仿宋_GB2312" w:cs="Times New Roman"/>
          <w:color w:val="000000"/>
          <w:kern w:val="0"/>
          <w:sz w:val="32"/>
          <w:szCs w:val="32"/>
          <w:highlight w:val="none"/>
          <w:lang w:val="en-US" w:eastAsia="zh-CN"/>
        </w:rPr>
        <w:t>《中华人民共和国</w:t>
      </w:r>
      <w:r>
        <w:rPr>
          <w:rFonts w:hint="eastAsia" w:ascii="Times New Roman" w:hAnsi="Times New Roman" w:eastAsia="仿宋_GB2312" w:cs="Times New Roman"/>
          <w:color w:val="000000"/>
          <w:kern w:val="0"/>
          <w:sz w:val="32"/>
          <w:szCs w:val="32"/>
          <w:highlight w:val="none"/>
          <w:lang w:val="en-US" w:eastAsia="zh-CN"/>
        </w:rPr>
        <w:t>能源</w:t>
      </w:r>
      <w:r>
        <w:rPr>
          <w:rFonts w:hint="default" w:ascii="Times New Roman" w:hAnsi="Times New Roman" w:eastAsia="仿宋_GB2312" w:cs="Times New Roman"/>
          <w:color w:val="000000"/>
          <w:kern w:val="0"/>
          <w:sz w:val="32"/>
          <w:szCs w:val="32"/>
          <w:highlight w:val="none"/>
          <w:lang w:val="en-US" w:eastAsia="zh-CN"/>
        </w:rPr>
        <w:t>法》</w:t>
      </w:r>
      <w:r>
        <w:rPr>
          <w:rFonts w:hint="default" w:ascii="Times New Roman" w:hAnsi="Times New Roman" w:eastAsia="仿宋_GB2312" w:cs="Times New Roman"/>
          <w:color w:val="000000"/>
          <w:kern w:val="0"/>
          <w:sz w:val="32"/>
          <w:szCs w:val="32"/>
          <w:highlight w:val="none"/>
          <w:lang w:val="en-US" w:eastAsia="zh-CN"/>
        </w:rPr>
        <w:t>《中华人民共和国安全生产法》《突发事件应急预案管理办法》等法律、法规、规章</w:t>
      </w:r>
      <w:r>
        <w:rPr>
          <w:rFonts w:hint="eastAsia" w:ascii="Times New Roman" w:hAnsi="Times New Roman" w:eastAsia="仿宋_GB2312" w:cs="Times New Roman"/>
          <w:color w:val="000000"/>
          <w:kern w:val="0"/>
          <w:sz w:val="32"/>
          <w:szCs w:val="32"/>
          <w:highlight w:val="none"/>
          <w:lang w:val="en-US" w:eastAsia="zh-CN"/>
        </w:rPr>
        <w:t>及有关文件规定</w:t>
      </w:r>
      <w:r>
        <w:rPr>
          <w:rFonts w:hint="default" w:ascii="Times New Roman" w:hAnsi="Times New Roman" w:eastAsia="仿宋_GB2312" w:cs="Times New Roman"/>
          <w:color w:val="000000"/>
          <w:kern w:val="0"/>
          <w:sz w:val="32"/>
          <w:szCs w:val="32"/>
          <w:highlight w:val="none"/>
          <w:lang w:val="en-US" w:eastAsia="zh-CN"/>
        </w:rPr>
        <w:t>，制定本办法。</w:t>
      </w:r>
    </w:p>
    <w:p w14:paraId="0B22AF4D">
      <w:pPr>
        <w:keepNext w:val="0"/>
        <w:keepLines w:val="0"/>
        <w:pageBreakBefore w:val="0"/>
        <w:widowControl w:val="0"/>
        <w:numPr>
          <w:ilvl w:val="0"/>
          <w:numId w:val="1"/>
        </w:numPr>
        <w:shd w:val="clear" w:color="auto" w:fill="FFFFFF"/>
        <w:kinsoku/>
        <w:wordWrap/>
        <w:overflowPunct/>
        <w:topLinePunct w:val="0"/>
        <w:autoSpaceDE/>
        <w:autoSpaceDN/>
        <w:bidi w:val="0"/>
        <w:adjustRightInd/>
        <w:snapToGrid/>
        <w:spacing w:beforeLines="0" w:afterLines="0" w:line="578" w:lineRule="exact"/>
        <w:ind w:firstLine="640" w:firstLineChars="200"/>
        <w:jc w:val="both"/>
        <w:textAlignment w:val="auto"/>
        <w:rPr>
          <w:rFonts w:hint="default"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highlight w:val="none"/>
          <w:lang w:val="en-US" w:eastAsia="zh-CN"/>
        </w:rPr>
        <w:t>涉电</w:t>
      </w:r>
      <w:r>
        <w:rPr>
          <w:rFonts w:hint="default" w:ascii="Times New Roman" w:hAnsi="Times New Roman" w:eastAsia="仿宋_GB2312" w:cs="Times New Roman"/>
          <w:color w:val="000000"/>
          <w:kern w:val="0"/>
          <w:sz w:val="32"/>
          <w:szCs w:val="32"/>
          <w:highlight w:val="none"/>
          <w:lang w:val="en-US" w:eastAsia="zh-CN"/>
        </w:rPr>
        <w:t>应急预案是电力企业</w:t>
      </w:r>
      <w:r>
        <w:rPr>
          <w:rFonts w:hint="eastAsia" w:ascii="Times New Roman" w:hAnsi="Times New Roman" w:eastAsia="仿宋_GB2312" w:cs="Times New Roman"/>
          <w:color w:val="000000"/>
          <w:kern w:val="0"/>
          <w:sz w:val="32"/>
          <w:szCs w:val="32"/>
          <w:highlight w:val="none"/>
          <w:lang w:val="en-US" w:eastAsia="zh-CN"/>
        </w:rPr>
        <w:t>为应对电力安全事故、电力生产安全事故、电力监控系统网络安全事件以及气象、地质地震等自然灾害涉电事件</w:t>
      </w:r>
      <w:r>
        <w:rPr>
          <w:rFonts w:hint="default" w:ascii="Times New Roman" w:hAnsi="Times New Roman" w:eastAsia="仿宋_GB2312" w:cs="Times New Roman"/>
          <w:color w:val="000000"/>
          <w:kern w:val="0"/>
          <w:sz w:val="32"/>
          <w:szCs w:val="32"/>
          <w:highlight w:val="none"/>
          <w:lang w:val="en-US" w:eastAsia="zh-CN"/>
        </w:rPr>
        <w:t>，或者</w:t>
      </w:r>
      <w:r>
        <w:rPr>
          <w:rFonts w:hint="eastAsia" w:ascii="Times New Roman" w:hAnsi="Times New Roman" w:eastAsia="仿宋_GB2312" w:cs="Times New Roman"/>
          <w:color w:val="000000"/>
          <w:kern w:val="0"/>
          <w:sz w:val="32"/>
          <w:szCs w:val="32"/>
          <w:highlight w:val="none"/>
          <w:lang w:val="en-US" w:eastAsia="zh-CN"/>
        </w:rPr>
        <w:t>针对水电站大坝等</w:t>
      </w:r>
      <w:r>
        <w:rPr>
          <w:rFonts w:hint="default" w:ascii="Times New Roman" w:hAnsi="Times New Roman" w:eastAsia="仿宋_GB2312" w:cs="Times New Roman"/>
          <w:color w:val="000000"/>
          <w:kern w:val="0"/>
          <w:sz w:val="32"/>
          <w:szCs w:val="32"/>
          <w:highlight w:val="none"/>
          <w:lang w:val="en-US" w:eastAsia="zh-CN"/>
        </w:rPr>
        <w:t>重要设备设施</w:t>
      </w:r>
      <w:r>
        <w:rPr>
          <w:rFonts w:hint="eastAsia" w:ascii="Times New Roman" w:hAnsi="Times New Roman" w:eastAsia="仿宋_GB2312" w:cs="Times New Roman"/>
          <w:color w:val="000000"/>
          <w:kern w:val="0"/>
          <w:sz w:val="32"/>
          <w:szCs w:val="32"/>
          <w:highlight w:val="none"/>
          <w:lang w:val="en-US" w:eastAsia="zh-CN"/>
        </w:rPr>
        <w:t>安全保障</w:t>
      </w:r>
      <w:r>
        <w:rPr>
          <w:rFonts w:hint="default" w:ascii="Times New Roman" w:hAnsi="Times New Roman" w:eastAsia="仿宋_GB2312" w:cs="Times New Roman"/>
          <w:color w:val="000000"/>
          <w:kern w:val="0"/>
          <w:sz w:val="32"/>
          <w:szCs w:val="32"/>
          <w:highlight w:val="none"/>
          <w:lang w:val="en-US" w:eastAsia="zh-CN"/>
        </w:rPr>
        <w:t>、重大危险源</w:t>
      </w:r>
      <w:r>
        <w:rPr>
          <w:rFonts w:hint="eastAsia" w:ascii="Times New Roman" w:hAnsi="Times New Roman" w:eastAsia="仿宋_GB2312" w:cs="Times New Roman"/>
          <w:color w:val="000000"/>
          <w:kern w:val="0"/>
          <w:sz w:val="32"/>
          <w:szCs w:val="32"/>
          <w:highlight w:val="none"/>
          <w:lang w:val="en-US" w:eastAsia="zh-CN"/>
        </w:rPr>
        <w:t>风险管控</w:t>
      </w:r>
      <w:r>
        <w:rPr>
          <w:rFonts w:hint="default" w:ascii="Times New Roman" w:hAnsi="Times New Roman" w:eastAsia="仿宋_GB2312" w:cs="Times New Roman"/>
          <w:color w:val="000000"/>
          <w:kern w:val="0"/>
          <w:sz w:val="32"/>
          <w:szCs w:val="32"/>
          <w:highlight w:val="none"/>
          <w:lang w:val="en-US" w:eastAsia="zh-CN"/>
        </w:rPr>
        <w:t>、重大活动</w:t>
      </w:r>
      <w:r>
        <w:rPr>
          <w:rFonts w:hint="eastAsia" w:ascii="Times New Roman" w:hAnsi="Times New Roman" w:eastAsia="仿宋_GB2312" w:cs="Times New Roman"/>
          <w:color w:val="000000"/>
          <w:kern w:val="0"/>
          <w:sz w:val="32"/>
          <w:szCs w:val="32"/>
          <w:highlight w:val="none"/>
          <w:lang w:val="en-US" w:eastAsia="zh-CN"/>
        </w:rPr>
        <w:t>电力</w:t>
      </w:r>
      <w:r>
        <w:rPr>
          <w:rFonts w:hint="default" w:ascii="Times New Roman" w:hAnsi="Times New Roman" w:eastAsia="仿宋_GB2312" w:cs="Times New Roman"/>
          <w:color w:val="000000"/>
          <w:kern w:val="0"/>
          <w:sz w:val="32"/>
          <w:szCs w:val="32"/>
          <w:highlight w:val="none"/>
          <w:lang w:val="en-US" w:eastAsia="zh-CN"/>
        </w:rPr>
        <w:t>保障等制定的</w:t>
      </w:r>
      <w:r>
        <w:rPr>
          <w:rFonts w:hint="eastAsia" w:ascii="Times New Roman" w:hAnsi="Times New Roman" w:eastAsia="仿宋_GB2312" w:cs="Times New Roman"/>
          <w:color w:val="000000"/>
          <w:kern w:val="0"/>
          <w:sz w:val="32"/>
          <w:szCs w:val="32"/>
          <w:highlight w:val="none"/>
          <w:lang w:val="en-US" w:eastAsia="zh-CN"/>
        </w:rPr>
        <w:t>专项</w:t>
      </w:r>
      <w:r>
        <w:rPr>
          <w:rFonts w:hint="default" w:ascii="Times New Roman" w:hAnsi="Times New Roman" w:eastAsia="仿宋_GB2312" w:cs="Times New Roman"/>
          <w:color w:val="000000"/>
          <w:kern w:val="0"/>
          <w:sz w:val="32"/>
          <w:szCs w:val="32"/>
          <w:highlight w:val="none"/>
          <w:lang w:val="en-US" w:eastAsia="zh-CN"/>
        </w:rPr>
        <w:t>应急预案。</w:t>
      </w:r>
    </w:p>
    <w:p w14:paraId="445EC371">
      <w:pPr>
        <w:keepNext w:val="0"/>
        <w:keepLines w:val="0"/>
        <w:pageBreakBefore w:val="0"/>
        <w:widowControl w:val="0"/>
        <w:numPr>
          <w:ilvl w:val="0"/>
          <w:numId w:val="0"/>
        </w:numPr>
        <w:shd w:val="clear" w:color="auto" w:fill="FFFFFF"/>
        <w:tabs>
          <w:tab w:val="left" w:pos="420"/>
        </w:tabs>
        <w:kinsoku/>
        <w:wordWrap/>
        <w:overflowPunct/>
        <w:topLinePunct w:val="0"/>
        <w:autoSpaceDE/>
        <w:autoSpaceDN/>
        <w:bidi w:val="0"/>
        <w:adjustRightInd/>
        <w:snapToGrid/>
        <w:spacing w:beforeLines="0" w:afterLines="0" w:line="578" w:lineRule="exact"/>
        <w:ind w:leftChars="0" w:firstLine="640" w:firstLineChars="200"/>
        <w:jc w:val="both"/>
        <w:textAlignment w:val="auto"/>
        <w:rPr>
          <w:rFonts w:hint="default" w:ascii="Times New Roman" w:hAnsi="Times New Roman" w:eastAsia="仿宋_GB2312" w:cs="Times New Roman"/>
          <w:color w:val="000000"/>
          <w:kern w:val="0"/>
          <w:sz w:val="32"/>
          <w:szCs w:val="32"/>
          <w:lang w:val="en-US" w:eastAsia="zh-CN"/>
        </w:rPr>
      </w:pPr>
      <w:r>
        <w:rPr>
          <w:rFonts w:hint="default" w:ascii="Times New Roman" w:hAnsi="Times New Roman" w:eastAsia="仿宋_GB2312" w:cs="Times New Roman"/>
          <w:color w:val="000000"/>
          <w:kern w:val="0"/>
          <w:sz w:val="32"/>
          <w:szCs w:val="32"/>
          <w:lang w:val="en-US" w:eastAsia="zh-CN"/>
        </w:rPr>
        <w:t>本办法适用于电力企业</w:t>
      </w:r>
      <w:r>
        <w:rPr>
          <w:rFonts w:hint="eastAsia" w:ascii="Times New Roman" w:hAnsi="Times New Roman" w:eastAsia="仿宋_GB2312" w:cs="Times New Roman"/>
          <w:color w:val="000000"/>
          <w:kern w:val="0"/>
          <w:sz w:val="32"/>
          <w:szCs w:val="32"/>
          <w:lang w:val="en-US" w:eastAsia="zh-CN"/>
        </w:rPr>
        <w:t>涉电</w:t>
      </w:r>
      <w:r>
        <w:rPr>
          <w:rFonts w:hint="default" w:ascii="Times New Roman" w:hAnsi="Times New Roman" w:eastAsia="仿宋_GB2312" w:cs="Times New Roman"/>
          <w:color w:val="000000"/>
          <w:kern w:val="0"/>
          <w:sz w:val="32"/>
          <w:szCs w:val="32"/>
          <w:lang w:val="en-US" w:eastAsia="zh-CN"/>
        </w:rPr>
        <w:t>应急预案的计划、编制、评审、发布、备案、培训、演练、评估</w:t>
      </w:r>
      <w:r>
        <w:rPr>
          <w:rFonts w:hint="eastAsia" w:ascii="Times New Roman" w:hAnsi="Times New Roman" w:eastAsia="仿宋_GB2312" w:cs="Times New Roman"/>
          <w:color w:val="000000"/>
          <w:kern w:val="0"/>
          <w:sz w:val="32"/>
          <w:szCs w:val="32"/>
          <w:lang w:val="en-US" w:eastAsia="zh-CN"/>
        </w:rPr>
        <w:t>、</w:t>
      </w:r>
      <w:r>
        <w:rPr>
          <w:rFonts w:hint="default" w:ascii="Times New Roman" w:hAnsi="Times New Roman" w:eastAsia="仿宋_GB2312" w:cs="Times New Roman"/>
          <w:color w:val="000000"/>
          <w:kern w:val="0"/>
          <w:sz w:val="32"/>
          <w:szCs w:val="32"/>
          <w:lang w:val="en-US" w:eastAsia="zh-CN"/>
        </w:rPr>
        <w:t>修订</w:t>
      </w:r>
      <w:r>
        <w:rPr>
          <w:rFonts w:hint="eastAsia" w:ascii="Times New Roman" w:hAnsi="Times New Roman" w:eastAsia="仿宋_GB2312" w:cs="Times New Roman"/>
          <w:color w:val="000000"/>
          <w:kern w:val="0"/>
          <w:sz w:val="32"/>
          <w:szCs w:val="32"/>
          <w:lang w:val="en-US" w:eastAsia="zh-CN"/>
        </w:rPr>
        <w:t>、监督管理</w:t>
      </w:r>
      <w:r>
        <w:rPr>
          <w:rFonts w:hint="default" w:ascii="Times New Roman" w:hAnsi="Times New Roman" w:eastAsia="仿宋_GB2312" w:cs="Times New Roman"/>
          <w:color w:val="000000"/>
          <w:kern w:val="0"/>
          <w:sz w:val="32"/>
          <w:szCs w:val="32"/>
          <w:lang w:val="en-US" w:eastAsia="zh-CN"/>
        </w:rPr>
        <w:t>等工作。</w:t>
      </w:r>
    </w:p>
    <w:p w14:paraId="3F30601E">
      <w:pPr>
        <w:keepNext w:val="0"/>
        <w:keepLines w:val="0"/>
        <w:pageBreakBefore w:val="0"/>
        <w:widowControl w:val="0"/>
        <w:numPr>
          <w:ilvl w:val="0"/>
          <w:numId w:val="1"/>
        </w:numPr>
        <w:shd w:val="clear" w:color="auto" w:fill="FFFFFF"/>
        <w:kinsoku/>
        <w:wordWrap/>
        <w:overflowPunct/>
        <w:topLinePunct w:val="0"/>
        <w:autoSpaceDE/>
        <w:autoSpaceDN/>
        <w:bidi w:val="0"/>
        <w:adjustRightInd/>
        <w:snapToGrid/>
        <w:spacing w:beforeLines="0" w:afterLines="0" w:line="578" w:lineRule="exact"/>
        <w:ind w:firstLine="640" w:firstLineChars="200"/>
        <w:jc w:val="both"/>
        <w:textAlignment w:val="auto"/>
        <w:rPr>
          <w:rFonts w:hint="default" w:ascii="Times New Roman" w:hAnsi="Times New Roman" w:eastAsia="仿宋_GB2312" w:cs="Times New Roman"/>
          <w:color w:val="000000"/>
          <w:kern w:val="0"/>
          <w:sz w:val="32"/>
          <w:szCs w:val="32"/>
          <w:lang w:val="en-US" w:eastAsia="zh-CN"/>
        </w:rPr>
      </w:pPr>
      <w:r>
        <w:rPr>
          <w:rFonts w:hint="default" w:ascii="Times New Roman" w:hAnsi="Times New Roman" w:eastAsia="仿宋_GB2312" w:cs="Times New Roman"/>
          <w:color w:val="000000"/>
          <w:kern w:val="0"/>
          <w:sz w:val="32"/>
          <w:szCs w:val="32"/>
          <w:lang w:val="en-US" w:eastAsia="zh-CN"/>
        </w:rPr>
        <w:t>电力企业是</w:t>
      </w:r>
      <w:r>
        <w:rPr>
          <w:rFonts w:hint="eastAsia" w:ascii="Times New Roman" w:hAnsi="Times New Roman" w:eastAsia="仿宋_GB2312" w:cs="Times New Roman"/>
          <w:color w:val="000000"/>
          <w:kern w:val="0"/>
          <w:sz w:val="32"/>
          <w:szCs w:val="32"/>
          <w:lang w:val="en-US" w:eastAsia="zh-CN"/>
        </w:rPr>
        <w:t>涉电</w:t>
      </w:r>
      <w:r>
        <w:rPr>
          <w:rFonts w:hint="default" w:ascii="Times New Roman" w:hAnsi="Times New Roman" w:eastAsia="仿宋_GB2312" w:cs="Times New Roman"/>
          <w:color w:val="000000"/>
          <w:kern w:val="0"/>
          <w:sz w:val="32"/>
          <w:szCs w:val="32"/>
          <w:lang w:val="en-US" w:eastAsia="zh-CN"/>
        </w:rPr>
        <w:t>应急预案管理工作的责任主体，应当按照本办法规定，建立健全</w:t>
      </w:r>
      <w:r>
        <w:rPr>
          <w:rFonts w:hint="eastAsia" w:ascii="Times New Roman" w:hAnsi="Times New Roman" w:eastAsia="仿宋_GB2312" w:cs="Times New Roman"/>
          <w:color w:val="000000"/>
          <w:kern w:val="0"/>
          <w:sz w:val="32"/>
          <w:szCs w:val="32"/>
          <w:lang w:val="en-US" w:eastAsia="zh-CN"/>
        </w:rPr>
        <w:t>涉电</w:t>
      </w:r>
      <w:r>
        <w:rPr>
          <w:rFonts w:hint="default" w:ascii="Times New Roman" w:hAnsi="Times New Roman" w:eastAsia="仿宋_GB2312" w:cs="Times New Roman"/>
          <w:color w:val="000000"/>
          <w:kern w:val="0"/>
          <w:sz w:val="32"/>
          <w:szCs w:val="32"/>
          <w:lang w:val="en-US" w:eastAsia="zh-CN"/>
        </w:rPr>
        <w:t>应急预案管理制度，规范开展</w:t>
      </w:r>
      <w:r>
        <w:rPr>
          <w:rFonts w:hint="eastAsia" w:ascii="Times New Roman" w:hAnsi="Times New Roman" w:eastAsia="仿宋_GB2312" w:cs="Times New Roman"/>
          <w:color w:val="000000"/>
          <w:kern w:val="0"/>
          <w:sz w:val="32"/>
          <w:szCs w:val="32"/>
          <w:lang w:val="en-US" w:eastAsia="zh-CN"/>
        </w:rPr>
        <w:t>涉电</w:t>
      </w:r>
      <w:r>
        <w:rPr>
          <w:rFonts w:hint="default" w:ascii="Times New Roman" w:hAnsi="Times New Roman" w:eastAsia="仿宋_GB2312" w:cs="Times New Roman"/>
          <w:color w:val="000000"/>
          <w:kern w:val="0"/>
          <w:sz w:val="32"/>
          <w:szCs w:val="32"/>
          <w:lang w:val="en-US" w:eastAsia="zh-CN"/>
        </w:rPr>
        <w:t>应急预案管理工作，保障</w:t>
      </w:r>
      <w:r>
        <w:rPr>
          <w:rFonts w:hint="eastAsia" w:ascii="Times New Roman" w:hAnsi="Times New Roman" w:eastAsia="仿宋_GB2312" w:cs="Times New Roman"/>
          <w:color w:val="000000"/>
          <w:kern w:val="0"/>
          <w:sz w:val="32"/>
          <w:szCs w:val="32"/>
          <w:lang w:val="en-US" w:eastAsia="zh-CN"/>
        </w:rPr>
        <w:t>涉电</w:t>
      </w:r>
      <w:r>
        <w:rPr>
          <w:rFonts w:hint="default" w:ascii="Times New Roman" w:hAnsi="Times New Roman" w:eastAsia="仿宋_GB2312" w:cs="Times New Roman"/>
          <w:color w:val="000000"/>
          <w:kern w:val="0"/>
          <w:sz w:val="32"/>
          <w:szCs w:val="32"/>
          <w:lang w:val="en-US" w:eastAsia="zh-CN"/>
        </w:rPr>
        <w:t>应急预案有效实施。</w:t>
      </w:r>
    </w:p>
    <w:p w14:paraId="595E5C84">
      <w:pPr>
        <w:keepNext w:val="0"/>
        <w:keepLines w:val="0"/>
        <w:pageBreakBefore w:val="0"/>
        <w:widowControl w:val="0"/>
        <w:numPr>
          <w:ilvl w:val="0"/>
          <w:numId w:val="1"/>
        </w:numPr>
        <w:shd w:val="clear" w:color="auto" w:fill="FFFFFF"/>
        <w:kinsoku/>
        <w:wordWrap/>
        <w:overflowPunct/>
        <w:topLinePunct w:val="0"/>
        <w:autoSpaceDE/>
        <w:autoSpaceDN/>
        <w:bidi w:val="0"/>
        <w:adjustRightInd/>
        <w:snapToGrid/>
        <w:spacing w:beforeLines="0" w:afterLines="0" w:line="578" w:lineRule="exact"/>
        <w:ind w:firstLine="640" w:firstLineChars="200"/>
        <w:jc w:val="both"/>
        <w:textAlignment w:val="auto"/>
        <w:rPr>
          <w:rFonts w:hint="default" w:ascii="Times New Roman" w:hAnsi="Times New Roman" w:eastAsia="仿宋_GB2312" w:cs="Times New Roman"/>
          <w:color w:val="000000"/>
          <w:kern w:val="0"/>
          <w:sz w:val="32"/>
          <w:szCs w:val="32"/>
          <w:lang w:val="en-US" w:eastAsia="zh-CN"/>
        </w:rPr>
      </w:pPr>
      <w:r>
        <w:rPr>
          <w:rFonts w:hint="default" w:ascii="Times New Roman" w:hAnsi="Times New Roman" w:eastAsia="仿宋_GB2312" w:cs="Times New Roman"/>
          <w:color w:val="000000"/>
          <w:kern w:val="0"/>
          <w:sz w:val="32"/>
          <w:szCs w:val="32"/>
          <w:lang w:val="en-US" w:eastAsia="zh-CN"/>
        </w:rPr>
        <w:t>国家能源局负责</w:t>
      </w:r>
      <w:r>
        <w:rPr>
          <w:rFonts w:hint="eastAsia" w:ascii="Times New Roman" w:hAnsi="Times New Roman" w:eastAsia="仿宋_GB2312" w:cs="Times New Roman"/>
          <w:color w:val="000000"/>
          <w:kern w:val="0"/>
          <w:sz w:val="32"/>
          <w:szCs w:val="32"/>
          <w:lang w:val="en-US" w:eastAsia="zh-CN"/>
        </w:rPr>
        <w:t>全国</w:t>
      </w:r>
      <w:r>
        <w:rPr>
          <w:rFonts w:hint="default" w:ascii="Times New Roman" w:hAnsi="Times New Roman" w:eastAsia="仿宋_GB2312" w:cs="Times New Roman"/>
          <w:color w:val="000000"/>
          <w:kern w:val="0"/>
          <w:sz w:val="32"/>
          <w:szCs w:val="32"/>
          <w:lang w:val="en-US" w:eastAsia="zh-CN"/>
        </w:rPr>
        <w:t>电力企业</w:t>
      </w:r>
      <w:r>
        <w:rPr>
          <w:rFonts w:hint="eastAsia" w:ascii="Times New Roman" w:hAnsi="Times New Roman" w:eastAsia="仿宋_GB2312" w:cs="Times New Roman"/>
          <w:color w:val="000000"/>
          <w:kern w:val="0"/>
          <w:sz w:val="32"/>
          <w:szCs w:val="32"/>
          <w:lang w:val="en-US" w:eastAsia="zh-CN"/>
        </w:rPr>
        <w:t>涉电应急预案</w:t>
      </w:r>
      <w:r>
        <w:rPr>
          <w:rFonts w:hint="default" w:ascii="Times New Roman" w:hAnsi="Times New Roman" w:eastAsia="仿宋_GB2312" w:cs="Times New Roman"/>
          <w:color w:val="000000"/>
          <w:kern w:val="0"/>
          <w:sz w:val="32"/>
          <w:szCs w:val="32"/>
          <w:lang w:val="en-US" w:eastAsia="zh-CN"/>
        </w:rPr>
        <w:t>管理工作</w:t>
      </w:r>
      <w:r>
        <w:rPr>
          <w:rFonts w:hint="eastAsia" w:ascii="Times New Roman" w:hAnsi="Times New Roman" w:eastAsia="仿宋_GB2312" w:cs="Times New Roman"/>
          <w:color w:val="000000"/>
          <w:kern w:val="0"/>
          <w:sz w:val="32"/>
          <w:szCs w:val="32"/>
          <w:lang w:val="en-US" w:eastAsia="zh-CN"/>
        </w:rPr>
        <w:t>的指导和</w:t>
      </w:r>
      <w:r>
        <w:rPr>
          <w:rFonts w:hint="default" w:ascii="Times New Roman" w:hAnsi="Times New Roman" w:eastAsia="仿宋_GB2312" w:cs="Times New Roman"/>
          <w:color w:val="000000"/>
          <w:kern w:val="0"/>
          <w:sz w:val="32"/>
          <w:szCs w:val="32"/>
          <w:lang w:val="en-US" w:eastAsia="zh-CN"/>
        </w:rPr>
        <w:t>监督。</w:t>
      </w:r>
      <w:r>
        <w:rPr>
          <w:rFonts w:hint="eastAsia" w:ascii="Times New Roman" w:hAnsi="Times New Roman" w:eastAsia="仿宋_GB2312" w:cs="Times New Roman"/>
          <w:color w:val="000000"/>
          <w:kern w:val="0"/>
          <w:sz w:val="32"/>
          <w:szCs w:val="32"/>
          <w:lang w:val="en-US" w:eastAsia="zh-CN"/>
        </w:rPr>
        <w:t>省级人民政府电力管理部门、</w:t>
      </w:r>
      <w:r>
        <w:rPr>
          <w:rFonts w:hint="default" w:ascii="Times New Roman" w:hAnsi="Times New Roman" w:eastAsia="仿宋_GB2312" w:cs="Times New Roman"/>
          <w:color w:val="000000"/>
          <w:kern w:val="0"/>
          <w:sz w:val="32"/>
          <w:szCs w:val="32"/>
          <w:lang w:val="en-US" w:eastAsia="zh-CN"/>
        </w:rPr>
        <w:t>国家能源局派出机构</w:t>
      </w:r>
      <w:r>
        <w:rPr>
          <w:rFonts w:hint="eastAsia" w:ascii="Times New Roman" w:hAnsi="Times New Roman" w:eastAsia="仿宋_GB2312" w:cs="Times New Roman"/>
          <w:color w:val="000000"/>
          <w:kern w:val="0"/>
          <w:sz w:val="32"/>
          <w:szCs w:val="32"/>
          <w:lang w:val="en-US" w:eastAsia="zh-CN"/>
        </w:rPr>
        <w:t>在各自职责范围内负责相关区域</w:t>
      </w:r>
      <w:r>
        <w:rPr>
          <w:rFonts w:hint="default" w:ascii="Times New Roman" w:hAnsi="Times New Roman" w:eastAsia="仿宋_GB2312" w:cs="Times New Roman"/>
          <w:color w:val="000000"/>
          <w:kern w:val="0"/>
          <w:sz w:val="32"/>
          <w:szCs w:val="32"/>
          <w:lang w:val="en-US" w:eastAsia="zh-CN"/>
        </w:rPr>
        <w:t>电力企业</w:t>
      </w:r>
      <w:r>
        <w:rPr>
          <w:rFonts w:hint="eastAsia" w:ascii="Times New Roman" w:hAnsi="Times New Roman" w:eastAsia="仿宋_GB2312" w:cs="Times New Roman"/>
          <w:color w:val="000000"/>
          <w:kern w:val="0"/>
          <w:sz w:val="32"/>
          <w:szCs w:val="32"/>
          <w:lang w:val="en-US" w:eastAsia="zh-CN"/>
        </w:rPr>
        <w:t>涉电应急预案</w:t>
      </w:r>
      <w:r>
        <w:rPr>
          <w:rFonts w:hint="default" w:ascii="Times New Roman" w:hAnsi="Times New Roman" w:eastAsia="仿宋_GB2312" w:cs="Times New Roman"/>
          <w:color w:val="000000"/>
          <w:kern w:val="0"/>
          <w:sz w:val="32"/>
          <w:szCs w:val="32"/>
          <w:lang w:val="en-US" w:eastAsia="zh-CN"/>
        </w:rPr>
        <w:t>管理工作</w:t>
      </w:r>
      <w:r>
        <w:rPr>
          <w:rFonts w:hint="eastAsia" w:ascii="Times New Roman" w:hAnsi="Times New Roman" w:eastAsia="仿宋_GB2312" w:cs="Times New Roman"/>
          <w:color w:val="000000"/>
          <w:kern w:val="0"/>
          <w:sz w:val="32"/>
          <w:szCs w:val="32"/>
          <w:lang w:val="en-US" w:eastAsia="zh-CN"/>
        </w:rPr>
        <w:t>的指导和</w:t>
      </w:r>
      <w:r>
        <w:rPr>
          <w:rFonts w:hint="default" w:ascii="Times New Roman" w:hAnsi="Times New Roman" w:eastAsia="仿宋_GB2312" w:cs="Times New Roman"/>
          <w:color w:val="000000"/>
          <w:kern w:val="0"/>
          <w:sz w:val="32"/>
          <w:szCs w:val="32"/>
          <w:lang w:val="en-US" w:eastAsia="zh-CN"/>
        </w:rPr>
        <w:t>监督。</w:t>
      </w:r>
    </w:p>
    <w:p w14:paraId="7D549825">
      <w:pPr>
        <w:keepNext w:val="0"/>
        <w:keepLines w:val="0"/>
        <w:pageBreakBefore w:val="0"/>
        <w:widowControl w:val="0"/>
        <w:numPr>
          <w:ilvl w:val="0"/>
          <w:numId w:val="0"/>
        </w:numPr>
        <w:shd w:val="clear" w:color="auto" w:fill="FFFFFF"/>
        <w:tabs>
          <w:tab w:val="left" w:pos="420"/>
        </w:tabs>
        <w:kinsoku/>
        <w:wordWrap/>
        <w:overflowPunct/>
        <w:topLinePunct w:val="0"/>
        <w:autoSpaceDE/>
        <w:autoSpaceDN/>
        <w:bidi w:val="0"/>
        <w:adjustRightInd/>
        <w:snapToGrid/>
        <w:spacing w:beforeLines="0" w:afterLines="0" w:line="578" w:lineRule="exact"/>
        <w:ind w:leftChars="200" w:firstLine="0" w:firstLineChars="0"/>
        <w:jc w:val="left"/>
        <w:textAlignment w:val="auto"/>
        <w:rPr>
          <w:rFonts w:hint="default" w:ascii="Times New Roman" w:hAnsi="Times New Roman" w:eastAsia="仿宋_GB2312" w:cs="Times New Roman"/>
          <w:color w:val="000000"/>
          <w:kern w:val="0"/>
          <w:sz w:val="32"/>
          <w:szCs w:val="32"/>
          <w:lang w:val="en-US" w:eastAsia="zh-CN"/>
        </w:rPr>
      </w:pPr>
    </w:p>
    <w:p w14:paraId="0B9BF839">
      <w:pPr>
        <w:pStyle w:val="4"/>
        <w:jc w:val="center"/>
        <w:rPr>
          <w:rFonts w:hint="default" w:ascii="Times New Roman" w:hAnsi="Times New Roman" w:eastAsia="黑体" w:cs="Times New Roman"/>
          <w:color w:val="000000"/>
          <w:kern w:val="0"/>
          <w:sz w:val="32"/>
          <w:szCs w:val="36"/>
          <w:highlight w:val="none"/>
          <w:lang w:val="en-US" w:eastAsia="zh-CN"/>
        </w:rPr>
      </w:pPr>
      <w:r>
        <w:rPr>
          <w:rFonts w:hint="default" w:ascii="Times New Roman" w:hAnsi="Times New Roman" w:eastAsia="黑体" w:cs="Times New Roman"/>
          <w:color w:val="000000"/>
          <w:kern w:val="0"/>
          <w:sz w:val="32"/>
          <w:szCs w:val="36"/>
          <w:highlight w:val="none"/>
          <w:lang w:val="en-US" w:eastAsia="zh-CN"/>
        </w:rPr>
        <w:t xml:space="preserve">第二章  </w:t>
      </w:r>
      <w:r>
        <w:rPr>
          <w:rFonts w:hint="default" w:ascii="Times New Roman" w:hAnsi="Times New Roman" w:cs="Times New Roman"/>
          <w:color w:val="000000"/>
          <w:kern w:val="0"/>
          <w:sz w:val="32"/>
          <w:szCs w:val="36"/>
          <w:highlight w:val="none"/>
          <w:lang w:val="en-US" w:eastAsia="zh-CN"/>
        </w:rPr>
        <w:t>计划与</w:t>
      </w:r>
      <w:r>
        <w:rPr>
          <w:rFonts w:hint="default" w:ascii="Times New Roman" w:hAnsi="Times New Roman" w:eastAsia="黑体" w:cs="Times New Roman"/>
          <w:color w:val="000000"/>
          <w:kern w:val="0"/>
          <w:sz w:val="32"/>
          <w:szCs w:val="36"/>
          <w:highlight w:val="none"/>
          <w:lang w:val="en-US" w:eastAsia="zh-CN"/>
        </w:rPr>
        <w:t>编制</w:t>
      </w:r>
    </w:p>
    <w:p w14:paraId="01C514CC">
      <w:pPr>
        <w:keepNext w:val="0"/>
        <w:keepLines w:val="0"/>
        <w:pageBreakBefore w:val="0"/>
        <w:widowControl w:val="0"/>
        <w:numPr>
          <w:ilvl w:val="0"/>
          <w:numId w:val="1"/>
        </w:numPr>
        <w:shd w:val="clear" w:color="auto" w:fill="FFFFFF"/>
        <w:kinsoku/>
        <w:wordWrap/>
        <w:overflowPunct/>
        <w:topLinePunct w:val="0"/>
        <w:autoSpaceDE/>
        <w:autoSpaceDN/>
        <w:bidi w:val="0"/>
        <w:adjustRightInd/>
        <w:snapToGrid/>
        <w:spacing w:beforeLines="0" w:afterLines="0" w:line="578" w:lineRule="exact"/>
        <w:ind w:firstLine="640" w:firstLineChars="200"/>
        <w:jc w:val="both"/>
        <w:textAlignment w:val="auto"/>
        <w:rPr>
          <w:rFonts w:hint="default" w:ascii="Times New Roman" w:hAnsi="Times New Roman" w:eastAsia="仿宋_GB2312" w:cs="Times New Roman"/>
          <w:color w:val="000000"/>
          <w:kern w:val="0"/>
          <w:sz w:val="32"/>
          <w:szCs w:val="32"/>
          <w:lang w:val="en-US" w:eastAsia="zh-CN"/>
        </w:rPr>
      </w:pPr>
      <w:r>
        <w:rPr>
          <w:rFonts w:hint="default" w:ascii="Times New Roman" w:hAnsi="Times New Roman" w:eastAsia="仿宋_GB2312" w:cs="Times New Roman"/>
          <w:color w:val="000000"/>
          <w:kern w:val="0"/>
          <w:sz w:val="32"/>
          <w:szCs w:val="32"/>
          <w:lang w:val="en-US" w:eastAsia="zh-CN"/>
        </w:rPr>
        <w:t>电力企业应结合本单位实际情况，</w:t>
      </w:r>
      <w:r>
        <w:rPr>
          <w:rFonts w:hint="eastAsia" w:ascii="Times New Roman" w:hAnsi="Times New Roman" w:eastAsia="仿宋_GB2312" w:cs="Times New Roman"/>
          <w:color w:val="000000"/>
          <w:kern w:val="0"/>
          <w:sz w:val="32"/>
          <w:szCs w:val="32"/>
          <w:lang w:val="en-US" w:eastAsia="zh-CN"/>
        </w:rPr>
        <w:t>科学合理设置涉电应急预案体系，</w:t>
      </w:r>
      <w:r>
        <w:rPr>
          <w:rFonts w:hint="default" w:ascii="Times New Roman" w:hAnsi="Times New Roman" w:eastAsia="仿宋_GB2312" w:cs="Times New Roman"/>
          <w:color w:val="000000"/>
          <w:kern w:val="0"/>
          <w:sz w:val="32"/>
          <w:szCs w:val="32"/>
          <w:lang w:val="en-US" w:eastAsia="zh-CN"/>
        </w:rPr>
        <w:t>编制</w:t>
      </w:r>
      <w:r>
        <w:rPr>
          <w:rFonts w:hint="eastAsia" w:ascii="Times New Roman" w:hAnsi="Times New Roman" w:eastAsia="仿宋_GB2312" w:cs="Times New Roman"/>
          <w:color w:val="000000"/>
          <w:kern w:val="0"/>
          <w:sz w:val="32"/>
          <w:szCs w:val="32"/>
          <w:lang w:val="en-US" w:eastAsia="zh-CN"/>
        </w:rPr>
        <w:t>涉电应急预案</w:t>
      </w:r>
      <w:r>
        <w:rPr>
          <w:rFonts w:hint="default" w:ascii="Times New Roman" w:hAnsi="Times New Roman" w:eastAsia="仿宋_GB2312" w:cs="Times New Roman"/>
          <w:color w:val="000000"/>
          <w:kern w:val="0"/>
          <w:sz w:val="32"/>
          <w:szCs w:val="32"/>
          <w:lang w:val="en-US" w:eastAsia="zh-CN"/>
        </w:rPr>
        <w:t>制修订工作计划，依据计划开展</w:t>
      </w:r>
      <w:r>
        <w:rPr>
          <w:rFonts w:hint="eastAsia" w:ascii="Times New Roman" w:hAnsi="Times New Roman" w:eastAsia="仿宋_GB2312" w:cs="Times New Roman"/>
          <w:color w:val="000000"/>
          <w:kern w:val="0"/>
          <w:sz w:val="32"/>
          <w:szCs w:val="32"/>
          <w:lang w:val="en-US" w:eastAsia="zh-CN"/>
        </w:rPr>
        <w:t>预案</w:t>
      </w:r>
      <w:r>
        <w:rPr>
          <w:rFonts w:hint="default" w:ascii="Times New Roman" w:hAnsi="Times New Roman" w:eastAsia="仿宋_GB2312" w:cs="Times New Roman"/>
          <w:color w:val="000000"/>
          <w:kern w:val="0"/>
          <w:sz w:val="32"/>
          <w:szCs w:val="32"/>
          <w:lang w:val="en-US" w:eastAsia="zh-CN"/>
        </w:rPr>
        <w:t>编制工作。</w:t>
      </w:r>
    </w:p>
    <w:p w14:paraId="36E0C411">
      <w:pPr>
        <w:keepNext w:val="0"/>
        <w:keepLines w:val="0"/>
        <w:pageBreakBefore w:val="0"/>
        <w:widowControl w:val="0"/>
        <w:numPr>
          <w:ilvl w:val="0"/>
          <w:numId w:val="1"/>
        </w:numPr>
        <w:shd w:val="clear" w:color="auto" w:fill="FFFFFF"/>
        <w:kinsoku/>
        <w:wordWrap/>
        <w:overflowPunct/>
        <w:topLinePunct w:val="0"/>
        <w:autoSpaceDE/>
        <w:autoSpaceDN/>
        <w:bidi w:val="0"/>
        <w:adjustRightInd/>
        <w:snapToGrid/>
        <w:spacing w:beforeLines="0" w:afterLines="0" w:line="578" w:lineRule="exact"/>
        <w:ind w:firstLine="640" w:firstLineChars="200"/>
        <w:jc w:val="both"/>
        <w:textAlignment w:val="auto"/>
        <w:rPr>
          <w:rFonts w:hint="default"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电力企业</w:t>
      </w:r>
      <w:r>
        <w:rPr>
          <w:rFonts w:hint="default" w:ascii="Times New Roman" w:hAnsi="Times New Roman" w:eastAsia="仿宋_GB2312" w:cs="Times New Roman"/>
          <w:color w:val="000000"/>
          <w:kern w:val="0"/>
          <w:sz w:val="32"/>
          <w:szCs w:val="32"/>
          <w:lang w:val="en-US" w:eastAsia="zh-CN"/>
        </w:rPr>
        <w:t>根据需要组成</w:t>
      </w:r>
      <w:r>
        <w:rPr>
          <w:rFonts w:hint="eastAsia" w:ascii="Times New Roman" w:hAnsi="Times New Roman" w:eastAsia="仿宋_GB2312" w:cs="Times New Roman"/>
          <w:color w:val="000000"/>
          <w:kern w:val="0"/>
          <w:sz w:val="32"/>
          <w:szCs w:val="32"/>
          <w:lang w:val="en-US" w:eastAsia="zh-CN"/>
        </w:rPr>
        <w:t>涉电应急预案</w:t>
      </w:r>
      <w:r>
        <w:rPr>
          <w:rFonts w:hint="default" w:ascii="Times New Roman" w:hAnsi="Times New Roman" w:eastAsia="仿宋_GB2312" w:cs="Times New Roman"/>
          <w:color w:val="000000"/>
          <w:kern w:val="0"/>
          <w:sz w:val="32"/>
          <w:szCs w:val="32"/>
          <w:lang w:val="en-US" w:eastAsia="zh-CN"/>
        </w:rPr>
        <w:t>编制工作小组，吸收有关部门和单位人员、有关专家及有应急处置工作经验的人员参加。编制工作小组组长由</w:t>
      </w:r>
      <w:r>
        <w:rPr>
          <w:rFonts w:hint="eastAsia" w:ascii="Times New Roman" w:hAnsi="Times New Roman" w:eastAsia="仿宋_GB2312" w:cs="Times New Roman"/>
          <w:color w:val="000000"/>
          <w:kern w:val="0"/>
          <w:sz w:val="32"/>
          <w:szCs w:val="32"/>
          <w:lang w:val="en-US" w:eastAsia="zh-CN"/>
        </w:rPr>
        <w:t>电力企业</w:t>
      </w:r>
      <w:r>
        <w:rPr>
          <w:rFonts w:hint="default" w:ascii="Times New Roman" w:hAnsi="Times New Roman" w:eastAsia="仿宋_GB2312" w:cs="Times New Roman"/>
          <w:color w:val="000000"/>
          <w:kern w:val="0"/>
          <w:sz w:val="32"/>
          <w:szCs w:val="32"/>
          <w:lang w:val="en-US" w:eastAsia="zh-CN"/>
        </w:rPr>
        <w:t>有关负责人担任。</w:t>
      </w:r>
    </w:p>
    <w:p w14:paraId="2EF6A852">
      <w:pPr>
        <w:keepNext w:val="0"/>
        <w:keepLines w:val="0"/>
        <w:pageBreakBefore w:val="0"/>
        <w:widowControl w:val="0"/>
        <w:numPr>
          <w:ilvl w:val="0"/>
          <w:numId w:val="1"/>
        </w:numPr>
        <w:shd w:val="clear" w:color="auto" w:fill="FFFFFF"/>
        <w:kinsoku/>
        <w:wordWrap/>
        <w:overflowPunct/>
        <w:topLinePunct w:val="0"/>
        <w:autoSpaceDE/>
        <w:autoSpaceDN/>
        <w:bidi w:val="0"/>
        <w:adjustRightInd/>
        <w:snapToGrid/>
        <w:spacing w:beforeLines="0" w:afterLines="0" w:line="578" w:lineRule="exact"/>
        <w:ind w:firstLine="640" w:firstLineChars="200"/>
        <w:jc w:val="left"/>
        <w:textAlignment w:val="auto"/>
        <w:rPr>
          <w:rFonts w:hint="default" w:ascii="Times New Roman" w:hAnsi="Times New Roman" w:eastAsia="仿宋_GB2312" w:cs="Times New Roman"/>
          <w:color w:val="000000"/>
          <w:kern w:val="0"/>
          <w:sz w:val="32"/>
          <w:szCs w:val="32"/>
          <w:lang w:val="en-US" w:eastAsia="zh-CN"/>
        </w:rPr>
      </w:pPr>
      <w:r>
        <w:rPr>
          <w:rFonts w:hint="default" w:ascii="Times New Roman" w:hAnsi="Times New Roman" w:eastAsia="仿宋_GB2312" w:cs="Times New Roman"/>
          <w:color w:val="000000"/>
          <w:kern w:val="0"/>
          <w:sz w:val="32"/>
          <w:szCs w:val="32"/>
          <w:lang w:val="en-US" w:eastAsia="zh-CN"/>
        </w:rPr>
        <w:t>电力企业编制</w:t>
      </w:r>
      <w:r>
        <w:rPr>
          <w:rFonts w:hint="eastAsia" w:ascii="Times New Roman" w:hAnsi="Times New Roman" w:eastAsia="仿宋_GB2312" w:cs="Times New Roman"/>
          <w:color w:val="000000"/>
          <w:kern w:val="0"/>
          <w:sz w:val="32"/>
          <w:szCs w:val="32"/>
          <w:lang w:val="en-US" w:eastAsia="zh-CN"/>
        </w:rPr>
        <w:t>涉电应急预案</w:t>
      </w:r>
      <w:r>
        <w:rPr>
          <w:rFonts w:hint="default" w:ascii="Times New Roman" w:hAnsi="Times New Roman" w:eastAsia="仿宋_GB2312" w:cs="Times New Roman"/>
          <w:color w:val="000000"/>
          <w:kern w:val="0"/>
          <w:sz w:val="32"/>
          <w:szCs w:val="32"/>
          <w:lang w:val="en-US" w:eastAsia="zh-CN"/>
        </w:rPr>
        <w:t>应当在开展风险评估、应急资源调查和案例分析的基础上进行。</w:t>
      </w:r>
    </w:p>
    <w:p w14:paraId="2FFDA750">
      <w:pPr>
        <w:keepNext w:val="0"/>
        <w:keepLines w:val="0"/>
        <w:pageBreakBefore w:val="0"/>
        <w:widowControl w:val="0"/>
        <w:numPr>
          <w:ilvl w:val="0"/>
          <w:numId w:val="0"/>
        </w:numPr>
        <w:shd w:val="clear" w:color="auto" w:fill="FFFFFF"/>
        <w:tabs>
          <w:tab w:val="left" w:pos="420"/>
        </w:tabs>
        <w:kinsoku/>
        <w:wordWrap/>
        <w:overflowPunct/>
        <w:topLinePunct w:val="0"/>
        <w:autoSpaceDE/>
        <w:autoSpaceDN/>
        <w:bidi w:val="0"/>
        <w:adjustRightInd/>
        <w:snapToGrid/>
        <w:spacing w:beforeLines="0" w:afterLines="0" w:line="578" w:lineRule="exact"/>
        <w:ind w:firstLine="640" w:firstLineChars="200"/>
        <w:jc w:val="left"/>
        <w:textAlignment w:val="auto"/>
        <w:rPr>
          <w:rFonts w:hint="default" w:ascii="Times New Roman" w:hAnsi="Times New Roman" w:eastAsia="仿宋_GB2312" w:cs="Times New Roman"/>
          <w:color w:val="000000"/>
          <w:kern w:val="0"/>
          <w:sz w:val="32"/>
          <w:szCs w:val="32"/>
          <w:highlight w:val="none"/>
          <w:lang w:val="en-US" w:eastAsia="zh-CN"/>
        </w:rPr>
      </w:pPr>
      <w:r>
        <w:rPr>
          <w:rFonts w:hint="default" w:ascii="Times New Roman" w:hAnsi="Times New Roman" w:eastAsia="仿宋_GB2312" w:cs="Times New Roman"/>
          <w:color w:val="000000"/>
          <w:kern w:val="0"/>
          <w:sz w:val="32"/>
          <w:szCs w:val="32"/>
          <w:lang w:val="en-US" w:eastAsia="zh-CN"/>
        </w:rPr>
        <w:t>（一）风险评估。主要是识</w:t>
      </w:r>
      <w:r>
        <w:rPr>
          <w:rFonts w:hint="default" w:ascii="Times New Roman" w:hAnsi="Times New Roman" w:eastAsia="仿宋_GB2312" w:cs="Times New Roman"/>
          <w:color w:val="000000"/>
          <w:kern w:val="0"/>
          <w:sz w:val="32"/>
          <w:szCs w:val="32"/>
          <w:highlight w:val="none"/>
          <w:lang w:val="en-US" w:eastAsia="zh-CN"/>
        </w:rPr>
        <w:t>别</w:t>
      </w:r>
      <w:r>
        <w:rPr>
          <w:rFonts w:hint="eastAsia" w:ascii="Times New Roman" w:hAnsi="Times New Roman" w:eastAsia="仿宋_GB2312" w:cs="Times New Roman"/>
          <w:color w:val="000000"/>
          <w:kern w:val="0"/>
          <w:sz w:val="32"/>
          <w:szCs w:val="32"/>
          <w:highlight w:val="none"/>
          <w:lang w:val="en-US" w:eastAsia="zh-CN"/>
        </w:rPr>
        <w:t>相关</w:t>
      </w:r>
      <w:r>
        <w:rPr>
          <w:rFonts w:hint="default" w:ascii="Times New Roman" w:hAnsi="Times New Roman" w:eastAsia="仿宋_GB2312" w:cs="Times New Roman"/>
          <w:color w:val="000000"/>
          <w:kern w:val="0"/>
          <w:sz w:val="32"/>
          <w:szCs w:val="32"/>
          <w:highlight w:val="none"/>
          <w:lang w:val="en-US" w:eastAsia="zh-CN"/>
        </w:rPr>
        <w:t>突发事件风险及其可能产生的后果和次生（衍生）灾害事件，评估可能造成的危害程度和影响范围等。</w:t>
      </w:r>
    </w:p>
    <w:p w14:paraId="3173F5DE">
      <w:pPr>
        <w:keepNext w:val="0"/>
        <w:keepLines w:val="0"/>
        <w:pageBreakBefore w:val="0"/>
        <w:widowControl w:val="0"/>
        <w:numPr>
          <w:ilvl w:val="0"/>
          <w:numId w:val="0"/>
        </w:numPr>
        <w:shd w:val="clear" w:color="auto" w:fill="FFFFFF"/>
        <w:tabs>
          <w:tab w:val="left" w:pos="420"/>
        </w:tabs>
        <w:kinsoku/>
        <w:wordWrap/>
        <w:overflowPunct/>
        <w:topLinePunct w:val="0"/>
        <w:autoSpaceDE/>
        <w:autoSpaceDN/>
        <w:bidi w:val="0"/>
        <w:adjustRightInd/>
        <w:snapToGrid/>
        <w:spacing w:beforeLines="0" w:afterLines="0" w:line="578" w:lineRule="exact"/>
        <w:ind w:firstLine="640" w:firstLineChars="200"/>
        <w:jc w:val="left"/>
        <w:textAlignment w:val="auto"/>
        <w:rPr>
          <w:rFonts w:hint="default" w:ascii="Times New Roman" w:hAnsi="Times New Roman" w:eastAsia="仿宋_GB2312" w:cs="Times New Roman"/>
          <w:color w:val="000000"/>
          <w:kern w:val="0"/>
          <w:sz w:val="32"/>
          <w:szCs w:val="32"/>
          <w:highlight w:val="none"/>
          <w:lang w:val="en-US" w:eastAsia="zh-CN"/>
        </w:rPr>
      </w:pPr>
      <w:r>
        <w:rPr>
          <w:rFonts w:hint="default" w:ascii="Times New Roman" w:hAnsi="Times New Roman" w:eastAsia="仿宋_GB2312" w:cs="Times New Roman"/>
          <w:color w:val="000000"/>
          <w:kern w:val="0"/>
          <w:sz w:val="32"/>
          <w:szCs w:val="32"/>
          <w:highlight w:val="none"/>
          <w:lang w:val="en-US" w:eastAsia="zh-CN"/>
        </w:rPr>
        <w:t>（二）应急资源调查。主要是全面调查本单位应对突发事件可用的应急救援队伍、物资装备、场所和通过改造可以利用的应急资源状况，合作区域内可以请求援助的应急资源状况</w:t>
      </w:r>
      <w:r>
        <w:rPr>
          <w:rFonts w:hint="eastAsia" w:ascii="Times New Roman" w:hAnsi="Times New Roman" w:eastAsia="仿宋_GB2312" w:cs="Times New Roman"/>
          <w:color w:val="000000"/>
          <w:kern w:val="0"/>
          <w:sz w:val="32"/>
          <w:szCs w:val="32"/>
          <w:highlight w:val="none"/>
          <w:lang w:val="en-US" w:eastAsia="zh-CN"/>
        </w:rPr>
        <w:t>等</w:t>
      </w:r>
      <w:r>
        <w:rPr>
          <w:rFonts w:hint="default" w:ascii="Times New Roman" w:hAnsi="Times New Roman" w:eastAsia="仿宋_GB2312" w:cs="Times New Roman"/>
          <w:color w:val="000000"/>
          <w:kern w:val="0"/>
          <w:sz w:val="32"/>
          <w:szCs w:val="32"/>
          <w:highlight w:val="none"/>
          <w:lang w:val="en-US" w:eastAsia="zh-CN"/>
        </w:rPr>
        <w:t>，为制定应急响应措施提供依据。</w:t>
      </w:r>
    </w:p>
    <w:p w14:paraId="1A8B6F10">
      <w:pPr>
        <w:keepNext w:val="0"/>
        <w:keepLines w:val="0"/>
        <w:pageBreakBefore w:val="0"/>
        <w:widowControl w:val="0"/>
        <w:numPr>
          <w:ilvl w:val="0"/>
          <w:numId w:val="0"/>
        </w:numPr>
        <w:shd w:val="clear" w:color="auto" w:fill="FFFFFF"/>
        <w:tabs>
          <w:tab w:val="left" w:pos="420"/>
        </w:tabs>
        <w:kinsoku/>
        <w:wordWrap/>
        <w:overflowPunct/>
        <w:topLinePunct w:val="0"/>
        <w:autoSpaceDE/>
        <w:autoSpaceDN/>
        <w:bidi w:val="0"/>
        <w:adjustRightInd/>
        <w:snapToGrid/>
        <w:spacing w:beforeLines="0" w:afterLines="0" w:line="578" w:lineRule="exact"/>
        <w:ind w:firstLine="640" w:firstLineChars="200"/>
        <w:jc w:val="left"/>
        <w:textAlignment w:val="auto"/>
        <w:rPr>
          <w:rFonts w:hint="default" w:ascii="Times New Roman" w:hAnsi="Times New Roman" w:eastAsia="仿宋_GB2312" w:cs="Times New Roman"/>
          <w:color w:val="000000"/>
          <w:kern w:val="0"/>
          <w:sz w:val="32"/>
          <w:szCs w:val="32"/>
          <w:lang w:val="en-US" w:eastAsia="zh-CN"/>
        </w:rPr>
      </w:pPr>
      <w:r>
        <w:rPr>
          <w:rFonts w:hint="default" w:ascii="Times New Roman" w:hAnsi="Times New Roman" w:eastAsia="仿宋_GB2312" w:cs="Times New Roman"/>
          <w:color w:val="000000"/>
          <w:kern w:val="0"/>
          <w:sz w:val="32"/>
          <w:szCs w:val="32"/>
          <w:highlight w:val="none"/>
          <w:lang w:val="en-US" w:eastAsia="zh-CN"/>
        </w:rPr>
        <w:t>（三）案例分析。</w:t>
      </w:r>
      <w:r>
        <w:rPr>
          <w:rFonts w:hint="eastAsia" w:ascii="Times New Roman" w:hAnsi="Times New Roman" w:eastAsia="仿宋_GB2312" w:cs="Times New Roman"/>
          <w:color w:val="000000"/>
          <w:kern w:val="0"/>
          <w:sz w:val="32"/>
          <w:szCs w:val="32"/>
          <w:highlight w:val="none"/>
          <w:lang w:val="en-US" w:eastAsia="zh-CN"/>
        </w:rPr>
        <w:t>主要是对</w:t>
      </w:r>
      <w:r>
        <w:rPr>
          <w:rFonts w:hint="default" w:ascii="Times New Roman" w:hAnsi="Times New Roman" w:eastAsia="仿宋_GB2312" w:cs="Times New Roman"/>
          <w:color w:val="000000"/>
          <w:kern w:val="0"/>
          <w:sz w:val="32"/>
          <w:szCs w:val="32"/>
          <w:highlight w:val="none"/>
          <w:lang w:val="en-US" w:eastAsia="zh-CN"/>
        </w:rPr>
        <w:t>行业内典型突发事件的发</w:t>
      </w:r>
      <w:r>
        <w:rPr>
          <w:rFonts w:hint="default" w:ascii="Times New Roman" w:hAnsi="Times New Roman" w:eastAsia="仿宋_GB2312" w:cs="Times New Roman"/>
          <w:color w:val="000000"/>
          <w:kern w:val="0"/>
          <w:sz w:val="32"/>
          <w:szCs w:val="32"/>
          <w:lang w:val="en-US" w:eastAsia="zh-CN"/>
        </w:rPr>
        <w:t>生演化规律、造成的后果和应急处置等情况进行</w:t>
      </w:r>
      <w:r>
        <w:rPr>
          <w:rFonts w:hint="eastAsia" w:ascii="Times New Roman" w:hAnsi="Times New Roman" w:eastAsia="仿宋_GB2312" w:cs="Times New Roman"/>
          <w:color w:val="000000"/>
          <w:kern w:val="0"/>
          <w:sz w:val="32"/>
          <w:szCs w:val="32"/>
          <w:lang w:val="en-US" w:eastAsia="zh-CN"/>
        </w:rPr>
        <w:t>复盘研究</w:t>
      </w:r>
      <w:r>
        <w:rPr>
          <w:rFonts w:hint="default" w:ascii="Times New Roman" w:hAnsi="Times New Roman" w:eastAsia="仿宋_GB2312" w:cs="Times New Roman"/>
          <w:color w:val="000000"/>
          <w:kern w:val="0"/>
          <w:sz w:val="32"/>
          <w:szCs w:val="32"/>
          <w:lang w:val="en-US" w:eastAsia="zh-CN"/>
        </w:rPr>
        <w:t>，</w:t>
      </w:r>
      <w:r>
        <w:rPr>
          <w:rFonts w:hint="eastAsia" w:ascii="Times New Roman" w:hAnsi="Times New Roman" w:eastAsia="仿宋_GB2312" w:cs="Times New Roman"/>
          <w:color w:val="000000"/>
          <w:kern w:val="0"/>
          <w:sz w:val="32"/>
          <w:szCs w:val="32"/>
          <w:lang w:val="en-US" w:eastAsia="zh-CN"/>
        </w:rPr>
        <w:t>总结经验教训，</w:t>
      </w:r>
      <w:r>
        <w:rPr>
          <w:rFonts w:hint="default" w:ascii="Times New Roman" w:hAnsi="Times New Roman" w:eastAsia="仿宋_GB2312" w:cs="Times New Roman"/>
          <w:color w:val="000000"/>
          <w:kern w:val="0"/>
          <w:sz w:val="32"/>
          <w:szCs w:val="32"/>
          <w:lang w:val="en-US" w:eastAsia="zh-CN"/>
        </w:rPr>
        <w:t>为</w:t>
      </w:r>
      <w:r>
        <w:rPr>
          <w:rFonts w:hint="eastAsia" w:ascii="Times New Roman" w:hAnsi="Times New Roman" w:eastAsia="仿宋_GB2312" w:cs="Times New Roman"/>
          <w:color w:val="000000"/>
          <w:kern w:val="0"/>
          <w:sz w:val="32"/>
          <w:szCs w:val="32"/>
          <w:lang w:val="en-US" w:eastAsia="zh-CN"/>
        </w:rPr>
        <w:t>涉电应急预案</w:t>
      </w:r>
      <w:r>
        <w:rPr>
          <w:rFonts w:hint="default" w:ascii="Times New Roman" w:hAnsi="Times New Roman" w:eastAsia="仿宋_GB2312" w:cs="Times New Roman"/>
          <w:color w:val="000000"/>
          <w:kern w:val="0"/>
          <w:sz w:val="32"/>
          <w:szCs w:val="32"/>
          <w:lang w:val="en-US" w:eastAsia="zh-CN"/>
        </w:rPr>
        <w:t>编制提供</w:t>
      </w:r>
      <w:r>
        <w:rPr>
          <w:rFonts w:hint="eastAsia" w:ascii="Times New Roman" w:hAnsi="Times New Roman" w:eastAsia="仿宋_GB2312" w:cs="Times New Roman"/>
          <w:color w:val="000000"/>
          <w:kern w:val="0"/>
          <w:sz w:val="32"/>
          <w:szCs w:val="32"/>
          <w:lang w:val="en-US" w:eastAsia="zh-CN"/>
        </w:rPr>
        <w:t>参考借鉴</w:t>
      </w:r>
      <w:r>
        <w:rPr>
          <w:rFonts w:hint="default" w:ascii="Times New Roman" w:hAnsi="Times New Roman" w:eastAsia="仿宋_GB2312" w:cs="Times New Roman"/>
          <w:color w:val="000000"/>
          <w:kern w:val="0"/>
          <w:sz w:val="32"/>
          <w:szCs w:val="32"/>
          <w:lang w:val="en-US" w:eastAsia="zh-CN"/>
        </w:rPr>
        <w:t>。</w:t>
      </w:r>
    </w:p>
    <w:p w14:paraId="73DCBBDF">
      <w:pPr>
        <w:keepNext w:val="0"/>
        <w:keepLines w:val="0"/>
        <w:pageBreakBefore w:val="0"/>
        <w:widowControl w:val="0"/>
        <w:numPr>
          <w:ilvl w:val="0"/>
          <w:numId w:val="1"/>
        </w:numPr>
        <w:shd w:val="clear" w:color="auto" w:fill="FFFFFF"/>
        <w:kinsoku/>
        <w:wordWrap/>
        <w:overflowPunct/>
        <w:topLinePunct w:val="0"/>
        <w:autoSpaceDE/>
        <w:autoSpaceDN/>
        <w:bidi w:val="0"/>
        <w:adjustRightInd/>
        <w:snapToGrid/>
        <w:spacing w:beforeLines="0" w:afterLines="0" w:line="578" w:lineRule="exact"/>
        <w:ind w:firstLine="640" w:firstLineChars="200"/>
        <w:jc w:val="both"/>
        <w:textAlignment w:val="auto"/>
        <w:rPr>
          <w:rFonts w:hint="default"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涉电应急预案编制</w:t>
      </w:r>
      <w:r>
        <w:rPr>
          <w:rFonts w:hint="default" w:ascii="Times New Roman" w:hAnsi="Times New Roman" w:eastAsia="仿宋_GB2312" w:cs="Times New Roman"/>
          <w:color w:val="000000"/>
          <w:kern w:val="0"/>
          <w:sz w:val="32"/>
          <w:szCs w:val="32"/>
          <w:lang w:val="en-US" w:eastAsia="zh-CN"/>
        </w:rPr>
        <w:t>应当符合下列基本要求：</w:t>
      </w:r>
    </w:p>
    <w:p w14:paraId="1295364C">
      <w:pPr>
        <w:keepNext w:val="0"/>
        <w:keepLines w:val="0"/>
        <w:pageBreakBefore w:val="0"/>
        <w:widowControl w:val="0"/>
        <w:numPr>
          <w:ilvl w:val="0"/>
          <w:numId w:val="0"/>
        </w:numPr>
        <w:shd w:val="clear" w:color="auto" w:fill="FFFFFF"/>
        <w:tabs>
          <w:tab w:val="left" w:pos="420"/>
        </w:tabs>
        <w:kinsoku/>
        <w:wordWrap/>
        <w:overflowPunct/>
        <w:topLinePunct w:val="0"/>
        <w:autoSpaceDE/>
        <w:autoSpaceDN/>
        <w:bidi w:val="0"/>
        <w:adjustRightInd/>
        <w:snapToGrid/>
        <w:spacing w:beforeLines="0" w:afterLines="0" w:line="578" w:lineRule="exact"/>
        <w:ind w:firstLine="640" w:firstLineChars="200"/>
        <w:jc w:val="both"/>
        <w:textAlignment w:val="auto"/>
        <w:rPr>
          <w:rFonts w:hint="default" w:ascii="Times New Roman" w:hAnsi="Times New Roman" w:eastAsia="仿宋_GB2312" w:cs="Times New Roman"/>
          <w:color w:val="000000"/>
          <w:kern w:val="0"/>
          <w:sz w:val="32"/>
          <w:szCs w:val="32"/>
          <w:lang w:val="en-US" w:eastAsia="zh-CN"/>
        </w:rPr>
      </w:pPr>
      <w:r>
        <w:rPr>
          <w:rFonts w:hint="default" w:ascii="Times New Roman" w:hAnsi="Times New Roman" w:eastAsia="仿宋_GB2312" w:cs="Times New Roman"/>
          <w:color w:val="000000"/>
          <w:kern w:val="0"/>
          <w:sz w:val="32"/>
          <w:szCs w:val="32"/>
          <w:lang w:val="en-US" w:eastAsia="zh-CN"/>
        </w:rPr>
        <w:t>（一）应急组织</w:t>
      </w:r>
      <w:r>
        <w:rPr>
          <w:rFonts w:hint="eastAsia" w:ascii="Times New Roman" w:hAnsi="Times New Roman" w:eastAsia="仿宋_GB2312" w:cs="Times New Roman"/>
          <w:color w:val="000000"/>
          <w:kern w:val="0"/>
          <w:sz w:val="32"/>
          <w:szCs w:val="32"/>
          <w:lang w:val="en-US" w:eastAsia="zh-CN"/>
        </w:rPr>
        <w:t>机构</w:t>
      </w:r>
      <w:r>
        <w:rPr>
          <w:rFonts w:hint="default" w:ascii="Times New Roman" w:hAnsi="Times New Roman" w:eastAsia="仿宋_GB2312" w:cs="Times New Roman"/>
          <w:color w:val="000000"/>
          <w:kern w:val="0"/>
          <w:sz w:val="32"/>
          <w:szCs w:val="32"/>
          <w:lang w:val="en-US" w:eastAsia="zh-CN"/>
        </w:rPr>
        <w:t>和人员的职责分工明确，并有具体的落实措施；</w:t>
      </w:r>
    </w:p>
    <w:p w14:paraId="22C6991D">
      <w:pPr>
        <w:keepNext w:val="0"/>
        <w:keepLines w:val="0"/>
        <w:pageBreakBefore w:val="0"/>
        <w:widowControl w:val="0"/>
        <w:numPr>
          <w:ilvl w:val="0"/>
          <w:numId w:val="0"/>
        </w:numPr>
        <w:shd w:val="clear" w:color="auto" w:fill="FFFFFF"/>
        <w:tabs>
          <w:tab w:val="left" w:pos="420"/>
        </w:tabs>
        <w:kinsoku/>
        <w:wordWrap/>
        <w:overflowPunct/>
        <w:topLinePunct w:val="0"/>
        <w:autoSpaceDE/>
        <w:autoSpaceDN/>
        <w:bidi w:val="0"/>
        <w:adjustRightInd/>
        <w:snapToGrid/>
        <w:spacing w:beforeLines="0" w:afterLines="0" w:line="578" w:lineRule="exact"/>
        <w:ind w:firstLine="640" w:firstLineChars="200"/>
        <w:jc w:val="both"/>
        <w:textAlignment w:val="auto"/>
        <w:rPr>
          <w:rFonts w:hint="default" w:ascii="Times New Roman" w:hAnsi="Times New Roman" w:eastAsia="仿宋_GB2312" w:cs="Times New Roman"/>
          <w:color w:val="000000"/>
          <w:kern w:val="0"/>
          <w:sz w:val="32"/>
          <w:szCs w:val="32"/>
          <w:lang w:val="en-US" w:eastAsia="zh-CN"/>
        </w:rPr>
      </w:pPr>
      <w:r>
        <w:rPr>
          <w:rFonts w:hint="default" w:ascii="Times New Roman" w:hAnsi="Times New Roman" w:eastAsia="仿宋_GB2312" w:cs="Times New Roman"/>
          <w:color w:val="000000"/>
          <w:kern w:val="0"/>
          <w:sz w:val="32"/>
          <w:szCs w:val="32"/>
          <w:lang w:val="en-US" w:eastAsia="zh-CN"/>
        </w:rPr>
        <w:t>（二）有明确、具</w:t>
      </w:r>
      <w:r>
        <w:rPr>
          <w:rFonts w:hint="default" w:ascii="Times New Roman" w:hAnsi="Times New Roman" w:eastAsia="仿宋_GB2312" w:cs="Times New Roman"/>
          <w:color w:val="000000"/>
          <w:kern w:val="0"/>
          <w:sz w:val="32"/>
          <w:szCs w:val="32"/>
          <w:highlight w:val="none"/>
          <w:lang w:val="en-US" w:eastAsia="zh-CN"/>
        </w:rPr>
        <w:t>体的突发事件预</w:t>
      </w:r>
      <w:r>
        <w:rPr>
          <w:rFonts w:hint="default" w:ascii="Times New Roman" w:hAnsi="Times New Roman" w:eastAsia="仿宋_GB2312" w:cs="Times New Roman"/>
          <w:color w:val="000000"/>
          <w:kern w:val="0"/>
          <w:sz w:val="32"/>
          <w:szCs w:val="32"/>
          <w:lang w:val="en-US" w:eastAsia="zh-CN"/>
        </w:rPr>
        <w:t>防措施和应急程序，并与其应急能力相适应；</w:t>
      </w:r>
    </w:p>
    <w:p w14:paraId="3039874F">
      <w:pPr>
        <w:keepNext w:val="0"/>
        <w:keepLines w:val="0"/>
        <w:pageBreakBefore w:val="0"/>
        <w:widowControl w:val="0"/>
        <w:numPr>
          <w:ilvl w:val="0"/>
          <w:numId w:val="0"/>
        </w:numPr>
        <w:shd w:val="clear" w:color="auto" w:fill="FFFFFF"/>
        <w:tabs>
          <w:tab w:val="left" w:pos="420"/>
        </w:tabs>
        <w:kinsoku/>
        <w:wordWrap/>
        <w:overflowPunct/>
        <w:topLinePunct w:val="0"/>
        <w:autoSpaceDE/>
        <w:autoSpaceDN/>
        <w:bidi w:val="0"/>
        <w:adjustRightInd/>
        <w:snapToGrid/>
        <w:spacing w:beforeLines="0" w:afterLines="0" w:line="578" w:lineRule="exact"/>
        <w:ind w:firstLine="640" w:firstLineChars="200"/>
        <w:jc w:val="both"/>
        <w:textAlignment w:val="auto"/>
        <w:rPr>
          <w:rFonts w:hint="default" w:ascii="Times New Roman" w:hAnsi="Times New Roman" w:eastAsia="仿宋_GB2312" w:cs="Times New Roman"/>
          <w:color w:val="000000"/>
          <w:kern w:val="0"/>
          <w:sz w:val="32"/>
          <w:szCs w:val="32"/>
          <w:lang w:val="en-US" w:eastAsia="zh-CN"/>
        </w:rPr>
      </w:pPr>
      <w:r>
        <w:rPr>
          <w:rFonts w:hint="default" w:ascii="Times New Roman" w:hAnsi="Times New Roman" w:eastAsia="仿宋_GB2312" w:cs="Times New Roman"/>
          <w:color w:val="000000"/>
          <w:kern w:val="0"/>
          <w:sz w:val="32"/>
          <w:szCs w:val="32"/>
          <w:lang w:val="en-US" w:eastAsia="zh-CN"/>
        </w:rPr>
        <w:t>（三）有明确的应急保障措施，并能满足本单位的应急工作要求；</w:t>
      </w:r>
    </w:p>
    <w:p w14:paraId="50A628AE">
      <w:pPr>
        <w:keepNext w:val="0"/>
        <w:keepLines w:val="0"/>
        <w:pageBreakBefore w:val="0"/>
        <w:widowControl w:val="0"/>
        <w:numPr>
          <w:ilvl w:val="0"/>
          <w:numId w:val="0"/>
        </w:numPr>
        <w:shd w:val="clear" w:color="auto" w:fill="FFFFFF"/>
        <w:tabs>
          <w:tab w:val="left" w:pos="420"/>
        </w:tabs>
        <w:kinsoku/>
        <w:wordWrap/>
        <w:overflowPunct/>
        <w:topLinePunct w:val="0"/>
        <w:autoSpaceDE/>
        <w:autoSpaceDN/>
        <w:bidi w:val="0"/>
        <w:adjustRightInd/>
        <w:snapToGrid/>
        <w:spacing w:beforeLines="0" w:afterLines="0" w:line="578" w:lineRule="exact"/>
        <w:ind w:firstLine="640" w:firstLineChars="200"/>
        <w:jc w:val="left"/>
        <w:textAlignment w:val="auto"/>
        <w:rPr>
          <w:rFonts w:hint="default" w:ascii="Times New Roman" w:hAnsi="Times New Roman" w:eastAsia="仿宋_GB2312" w:cs="Times New Roman"/>
          <w:color w:val="000000"/>
          <w:kern w:val="0"/>
          <w:sz w:val="32"/>
          <w:szCs w:val="32"/>
          <w:lang w:val="en-US" w:eastAsia="zh-CN"/>
        </w:rPr>
      </w:pPr>
      <w:r>
        <w:rPr>
          <w:rFonts w:hint="default" w:ascii="Times New Roman" w:hAnsi="Times New Roman" w:eastAsia="仿宋_GB2312" w:cs="Times New Roman"/>
          <w:color w:val="000000"/>
          <w:kern w:val="0"/>
          <w:sz w:val="32"/>
          <w:szCs w:val="32"/>
          <w:lang w:val="en-US" w:eastAsia="zh-CN"/>
        </w:rPr>
        <w:t>（四）预案基本要素齐全、完整，预案附件提供的信息准确；</w:t>
      </w:r>
    </w:p>
    <w:p w14:paraId="21D57963">
      <w:pPr>
        <w:keepNext w:val="0"/>
        <w:keepLines w:val="0"/>
        <w:pageBreakBefore w:val="0"/>
        <w:widowControl w:val="0"/>
        <w:numPr>
          <w:ilvl w:val="0"/>
          <w:numId w:val="0"/>
        </w:numPr>
        <w:shd w:val="clear" w:color="auto" w:fill="FFFFFF"/>
        <w:tabs>
          <w:tab w:val="left" w:pos="420"/>
        </w:tabs>
        <w:kinsoku/>
        <w:wordWrap/>
        <w:overflowPunct/>
        <w:topLinePunct w:val="0"/>
        <w:autoSpaceDE/>
        <w:autoSpaceDN/>
        <w:bidi w:val="0"/>
        <w:adjustRightInd/>
        <w:snapToGrid/>
        <w:spacing w:beforeLines="0" w:afterLines="0" w:line="578" w:lineRule="exact"/>
        <w:ind w:firstLine="640" w:firstLineChars="200"/>
        <w:jc w:val="both"/>
        <w:textAlignment w:val="auto"/>
        <w:rPr>
          <w:rFonts w:hint="default" w:ascii="Times New Roman" w:hAnsi="Times New Roman" w:eastAsia="仿宋_GB2312" w:cs="Times New Roman"/>
          <w:color w:val="000000"/>
          <w:kern w:val="0"/>
          <w:sz w:val="32"/>
          <w:szCs w:val="32"/>
          <w:lang w:val="en-US" w:eastAsia="zh-CN"/>
        </w:rPr>
      </w:pPr>
      <w:r>
        <w:rPr>
          <w:rFonts w:hint="default" w:ascii="Times New Roman" w:hAnsi="Times New Roman" w:eastAsia="仿宋_GB2312" w:cs="Times New Roman"/>
          <w:color w:val="000000"/>
          <w:kern w:val="0"/>
          <w:sz w:val="32"/>
          <w:szCs w:val="32"/>
          <w:lang w:val="en-US" w:eastAsia="zh-CN"/>
        </w:rPr>
        <w:t>（五）</w:t>
      </w:r>
      <w:r>
        <w:rPr>
          <w:rFonts w:hint="eastAsia" w:ascii="Times New Roman" w:hAnsi="Times New Roman" w:eastAsia="仿宋_GB2312" w:cs="Times New Roman"/>
          <w:color w:val="000000"/>
          <w:kern w:val="0"/>
          <w:sz w:val="32"/>
          <w:szCs w:val="32"/>
          <w:lang w:val="en-US" w:eastAsia="zh-CN"/>
        </w:rPr>
        <w:t>与企业内部其他应急</w:t>
      </w:r>
      <w:r>
        <w:rPr>
          <w:rFonts w:hint="default" w:ascii="Times New Roman" w:hAnsi="Times New Roman" w:eastAsia="仿宋_GB2312" w:cs="Times New Roman"/>
          <w:color w:val="000000"/>
          <w:kern w:val="0"/>
          <w:sz w:val="32"/>
          <w:szCs w:val="32"/>
          <w:lang w:val="en-US" w:eastAsia="zh-CN"/>
        </w:rPr>
        <w:t>预案</w:t>
      </w:r>
      <w:r>
        <w:rPr>
          <w:rFonts w:hint="eastAsia" w:ascii="Times New Roman" w:hAnsi="Times New Roman" w:eastAsia="仿宋_GB2312" w:cs="Times New Roman"/>
          <w:color w:val="000000"/>
          <w:kern w:val="0"/>
          <w:sz w:val="32"/>
          <w:szCs w:val="32"/>
          <w:lang w:val="en-US" w:eastAsia="zh-CN"/>
        </w:rPr>
        <w:t>、</w:t>
      </w:r>
      <w:r>
        <w:rPr>
          <w:rFonts w:hint="default" w:ascii="Times New Roman" w:hAnsi="Times New Roman" w:eastAsia="仿宋_GB2312" w:cs="Times New Roman"/>
          <w:color w:val="000000"/>
          <w:kern w:val="0"/>
          <w:sz w:val="32"/>
          <w:szCs w:val="32"/>
          <w:lang w:val="en-US" w:eastAsia="zh-CN"/>
        </w:rPr>
        <w:t>其他单位的</w:t>
      </w:r>
      <w:r>
        <w:rPr>
          <w:rFonts w:hint="eastAsia" w:ascii="Times New Roman" w:hAnsi="Times New Roman" w:eastAsia="仿宋_GB2312" w:cs="Times New Roman"/>
          <w:color w:val="000000"/>
          <w:kern w:val="0"/>
          <w:sz w:val="32"/>
          <w:szCs w:val="32"/>
          <w:lang w:val="en-US" w:eastAsia="zh-CN"/>
        </w:rPr>
        <w:t>相关</w:t>
      </w:r>
      <w:r>
        <w:rPr>
          <w:rFonts w:hint="default" w:ascii="Times New Roman" w:hAnsi="Times New Roman" w:eastAsia="仿宋_GB2312" w:cs="Times New Roman"/>
          <w:color w:val="000000"/>
          <w:kern w:val="0"/>
          <w:sz w:val="32"/>
          <w:szCs w:val="32"/>
          <w:lang w:val="en-US" w:eastAsia="zh-CN"/>
        </w:rPr>
        <w:t>应急预案在内容上应相互衔接。</w:t>
      </w:r>
    </w:p>
    <w:p w14:paraId="4EAE5A4C">
      <w:pPr>
        <w:keepNext w:val="0"/>
        <w:keepLines w:val="0"/>
        <w:pageBreakBefore w:val="0"/>
        <w:widowControl w:val="0"/>
        <w:numPr>
          <w:ilvl w:val="0"/>
          <w:numId w:val="1"/>
        </w:numPr>
        <w:shd w:val="clear" w:color="auto" w:fill="FFFFFF"/>
        <w:kinsoku/>
        <w:wordWrap/>
        <w:overflowPunct/>
        <w:topLinePunct w:val="0"/>
        <w:autoSpaceDE/>
        <w:autoSpaceDN/>
        <w:bidi w:val="0"/>
        <w:adjustRightInd/>
        <w:snapToGrid/>
        <w:spacing w:beforeLines="0" w:afterLines="0" w:line="578" w:lineRule="exact"/>
        <w:ind w:firstLine="640" w:firstLineChars="200"/>
        <w:jc w:val="both"/>
        <w:textAlignment w:val="auto"/>
        <w:rPr>
          <w:rFonts w:hint="default" w:ascii="Times New Roman" w:hAnsi="Times New Roman" w:eastAsia="仿宋_GB2312" w:cs="Times New Roman"/>
          <w:color w:val="000000"/>
          <w:kern w:val="0"/>
          <w:sz w:val="32"/>
          <w:szCs w:val="32"/>
          <w:lang w:val="en-US" w:eastAsia="zh-CN"/>
        </w:rPr>
      </w:pPr>
      <w:r>
        <w:rPr>
          <w:rFonts w:hint="default" w:ascii="Times New Roman" w:hAnsi="Times New Roman" w:eastAsia="仿宋_GB2312" w:cs="Times New Roman"/>
          <w:color w:val="000000"/>
          <w:kern w:val="0"/>
          <w:sz w:val="32"/>
          <w:szCs w:val="32"/>
          <w:lang w:val="en-US" w:eastAsia="zh-CN"/>
        </w:rPr>
        <w:t>电力企业</w:t>
      </w:r>
      <w:r>
        <w:rPr>
          <w:rFonts w:hint="eastAsia" w:ascii="Times New Roman" w:hAnsi="Times New Roman" w:eastAsia="仿宋_GB2312" w:cs="Times New Roman"/>
          <w:color w:val="000000"/>
          <w:kern w:val="0"/>
          <w:sz w:val="32"/>
          <w:szCs w:val="32"/>
          <w:lang w:val="en-US" w:eastAsia="zh-CN"/>
        </w:rPr>
        <w:t>应</w:t>
      </w:r>
      <w:r>
        <w:rPr>
          <w:rFonts w:hint="default" w:ascii="Times New Roman" w:hAnsi="Times New Roman" w:eastAsia="仿宋_GB2312" w:cs="Times New Roman"/>
          <w:color w:val="000000"/>
          <w:kern w:val="0"/>
          <w:sz w:val="32"/>
          <w:szCs w:val="32"/>
          <w:lang w:val="en-US" w:eastAsia="zh-CN"/>
        </w:rPr>
        <w:t>注重运用信息化数字化智能化技术，推进</w:t>
      </w:r>
      <w:r>
        <w:rPr>
          <w:rFonts w:hint="eastAsia" w:ascii="Times New Roman" w:hAnsi="Times New Roman" w:eastAsia="仿宋_GB2312" w:cs="Times New Roman"/>
          <w:color w:val="000000"/>
          <w:kern w:val="0"/>
          <w:sz w:val="32"/>
          <w:szCs w:val="32"/>
          <w:lang w:val="en-US" w:eastAsia="zh-CN"/>
        </w:rPr>
        <w:t>涉电应急预案</w:t>
      </w:r>
      <w:r>
        <w:rPr>
          <w:rFonts w:hint="default" w:ascii="Times New Roman" w:hAnsi="Times New Roman" w:eastAsia="仿宋_GB2312" w:cs="Times New Roman"/>
          <w:color w:val="000000"/>
          <w:kern w:val="0"/>
          <w:sz w:val="32"/>
          <w:szCs w:val="32"/>
          <w:lang w:val="en-US" w:eastAsia="zh-CN"/>
        </w:rPr>
        <w:t>理念、模式等创新，充分发挥</w:t>
      </w:r>
      <w:r>
        <w:rPr>
          <w:rFonts w:hint="eastAsia" w:ascii="Times New Roman" w:hAnsi="Times New Roman" w:eastAsia="仿宋_GB2312" w:cs="Times New Roman"/>
          <w:color w:val="000000"/>
          <w:kern w:val="0"/>
          <w:sz w:val="32"/>
          <w:szCs w:val="32"/>
          <w:lang w:val="en-US" w:eastAsia="zh-CN"/>
        </w:rPr>
        <w:t>涉电应急预案</w:t>
      </w:r>
      <w:r>
        <w:rPr>
          <w:rFonts w:hint="default" w:ascii="Times New Roman" w:hAnsi="Times New Roman" w:eastAsia="仿宋_GB2312" w:cs="Times New Roman"/>
          <w:color w:val="000000"/>
          <w:kern w:val="0"/>
          <w:sz w:val="32"/>
          <w:szCs w:val="32"/>
          <w:lang w:val="en-US" w:eastAsia="zh-CN"/>
        </w:rPr>
        <w:t>牵引应急准备、指导处置救援的作用。</w:t>
      </w:r>
    </w:p>
    <w:p w14:paraId="11CE8CCD">
      <w:pPr>
        <w:keepNext w:val="0"/>
        <w:keepLines w:val="0"/>
        <w:pageBreakBefore w:val="0"/>
        <w:widowControl w:val="0"/>
        <w:numPr>
          <w:ilvl w:val="0"/>
          <w:numId w:val="0"/>
        </w:numPr>
        <w:shd w:val="clear" w:color="auto" w:fill="FFFFFF"/>
        <w:tabs>
          <w:tab w:val="left" w:pos="420"/>
        </w:tabs>
        <w:kinsoku/>
        <w:wordWrap/>
        <w:overflowPunct/>
        <w:topLinePunct w:val="0"/>
        <w:autoSpaceDE/>
        <w:autoSpaceDN/>
        <w:bidi w:val="0"/>
        <w:adjustRightInd/>
        <w:snapToGrid/>
        <w:spacing w:beforeLines="0" w:afterLines="0" w:line="578" w:lineRule="exact"/>
        <w:ind w:leftChars="200" w:firstLine="0" w:firstLineChars="0"/>
        <w:jc w:val="left"/>
        <w:textAlignment w:val="auto"/>
        <w:rPr>
          <w:rFonts w:hint="default" w:ascii="Times New Roman" w:hAnsi="Times New Roman" w:eastAsia="仿宋_GB2312" w:cs="Times New Roman"/>
          <w:color w:val="000000"/>
          <w:kern w:val="0"/>
          <w:sz w:val="32"/>
          <w:szCs w:val="32"/>
          <w:lang w:val="en-US" w:eastAsia="zh-CN"/>
        </w:rPr>
      </w:pPr>
    </w:p>
    <w:p w14:paraId="3C4A4F91">
      <w:pPr>
        <w:pStyle w:val="4"/>
        <w:jc w:val="center"/>
        <w:rPr>
          <w:rFonts w:hint="default" w:ascii="Times New Roman" w:hAnsi="Times New Roman" w:eastAsia="黑体" w:cs="Times New Roman"/>
          <w:color w:val="000000"/>
          <w:kern w:val="0"/>
          <w:sz w:val="32"/>
          <w:szCs w:val="36"/>
          <w:highlight w:val="none"/>
          <w:lang w:val="en-US" w:eastAsia="zh-CN"/>
        </w:rPr>
      </w:pPr>
      <w:r>
        <w:rPr>
          <w:rFonts w:hint="default" w:ascii="Times New Roman" w:hAnsi="Times New Roman" w:eastAsia="黑体" w:cs="Times New Roman"/>
          <w:color w:val="000000"/>
          <w:kern w:val="0"/>
          <w:sz w:val="32"/>
          <w:szCs w:val="36"/>
          <w:highlight w:val="none"/>
          <w:lang w:val="en-US" w:eastAsia="zh-CN"/>
        </w:rPr>
        <w:t>第三章  评审</w:t>
      </w:r>
      <w:r>
        <w:rPr>
          <w:rFonts w:hint="default" w:ascii="Times New Roman" w:hAnsi="Times New Roman" w:cs="Times New Roman"/>
          <w:color w:val="000000"/>
          <w:kern w:val="0"/>
          <w:sz w:val="32"/>
          <w:szCs w:val="36"/>
          <w:highlight w:val="none"/>
          <w:lang w:val="en-US" w:eastAsia="zh-CN"/>
        </w:rPr>
        <w:t>、发布、备案</w:t>
      </w:r>
    </w:p>
    <w:p w14:paraId="27D2B29E">
      <w:pPr>
        <w:keepNext w:val="0"/>
        <w:keepLines w:val="0"/>
        <w:pageBreakBefore w:val="0"/>
        <w:widowControl w:val="0"/>
        <w:numPr>
          <w:ilvl w:val="0"/>
          <w:numId w:val="1"/>
        </w:numPr>
        <w:shd w:val="clear" w:color="auto" w:fill="FFFFFF"/>
        <w:kinsoku/>
        <w:wordWrap/>
        <w:overflowPunct/>
        <w:topLinePunct w:val="0"/>
        <w:autoSpaceDE/>
        <w:autoSpaceDN/>
        <w:bidi w:val="0"/>
        <w:adjustRightInd/>
        <w:snapToGrid/>
        <w:spacing w:beforeLines="0" w:afterLines="0" w:line="578" w:lineRule="exact"/>
        <w:ind w:firstLine="640" w:firstLineChars="200"/>
        <w:jc w:val="left"/>
        <w:textAlignment w:val="auto"/>
        <w:rPr>
          <w:rFonts w:hint="default" w:ascii="Times New Roman" w:hAnsi="Times New Roman" w:eastAsia="仿宋_GB2312" w:cs="Times New Roman"/>
          <w:color w:val="000000"/>
          <w:kern w:val="0"/>
          <w:sz w:val="32"/>
          <w:szCs w:val="32"/>
          <w:lang w:val="en-US" w:eastAsia="zh-CN"/>
        </w:rPr>
      </w:pPr>
      <w:r>
        <w:rPr>
          <w:rFonts w:hint="default" w:ascii="Times New Roman" w:hAnsi="Times New Roman" w:eastAsia="仿宋_GB2312" w:cs="Times New Roman"/>
          <w:color w:val="000000"/>
          <w:kern w:val="0"/>
          <w:sz w:val="32"/>
          <w:szCs w:val="32"/>
          <w:lang w:val="en-US" w:eastAsia="zh-CN"/>
        </w:rPr>
        <w:t>电力企业应</w:t>
      </w:r>
      <w:r>
        <w:rPr>
          <w:rFonts w:hint="eastAsia" w:ascii="Times New Roman" w:hAnsi="Times New Roman" w:eastAsia="仿宋_GB2312" w:cs="Times New Roman"/>
          <w:color w:val="000000"/>
          <w:kern w:val="0"/>
          <w:sz w:val="32"/>
          <w:szCs w:val="32"/>
          <w:lang w:val="en-US" w:eastAsia="zh-CN"/>
        </w:rPr>
        <w:t>对</w:t>
      </w:r>
      <w:r>
        <w:rPr>
          <w:rFonts w:hint="default" w:ascii="Times New Roman" w:hAnsi="Times New Roman" w:eastAsia="仿宋_GB2312" w:cs="Times New Roman"/>
          <w:color w:val="000000"/>
          <w:kern w:val="0"/>
          <w:sz w:val="32"/>
          <w:szCs w:val="32"/>
          <w:lang w:val="en-US" w:eastAsia="zh-CN"/>
        </w:rPr>
        <w:t>本单位</w:t>
      </w:r>
      <w:r>
        <w:rPr>
          <w:rFonts w:hint="eastAsia" w:ascii="Times New Roman" w:hAnsi="Times New Roman" w:eastAsia="仿宋_GB2312" w:cs="Times New Roman"/>
          <w:color w:val="000000"/>
          <w:kern w:val="0"/>
          <w:sz w:val="32"/>
          <w:szCs w:val="32"/>
          <w:lang w:val="en-US" w:eastAsia="zh-CN"/>
        </w:rPr>
        <w:t>涉电应急预案开展</w:t>
      </w:r>
      <w:r>
        <w:rPr>
          <w:rFonts w:hint="default" w:ascii="Times New Roman" w:hAnsi="Times New Roman" w:eastAsia="仿宋_GB2312" w:cs="Times New Roman"/>
          <w:color w:val="000000"/>
          <w:kern w:val="0"/>
          <w:sz w:val="32"/>
          <w:szCs w:val="32"/>
          <w:lang w:val="en-US" w:eastAsia="zh-CN"/>
        </w:rPr>
        <w:t>评审，</w:t>
      </w:r>
      <w:r>
        <w:rPr>
          <w:rFonts w:hint="eastAsia" w:ascii="Times New Roman" w:hAnsi="Times New Roman" w:eastAsia="仿宋_GB2312" w:cs="Times New Roman"/>
          <w:color w:val="000000"/>
          <w:kern w:val="0"/>
          <w:sz w:val="32"/>
          <w:szCs w:val="32"/>
          <w:lang w:val="en-US" w:eastAsia="zh-CN"/>
        </w:rPr>
        <w:t>评审前应</w:t>
      </w:r>
      <w:r>
        <w:rPr>
          <w:rFonts w:hint="default" w:ascii="Times New Roman" w:hAnsi="Times New Roman" w:eastAsia="仿宋_GB2312" w:cs="Times New Roman"/>
          <w:color w:val="000000"/>
          <w:kern w:val="0"/>
          <w:sz w:val="32"/>
          <w:szCs w:val="32"/>
          <w:lang w:val="en-US" w:eastAsia="zh-CN"/>
        </w:rPr>
        <w:t>组建评审专家组</w:t>
      </w:r>
      <w:r>
        <w:rPr>
          <w:rFonts w:hint="eastAsia" w:ascii="Times New Roman" w:hAnsi="Times New Roman" w:eastAsia="仿宋_GB2312" w:cs="Times New Roman"/>
          <w:color w:val="000000"/>
          <w:kern w:val="0"/>
          <w:sz w:val="32"/>
          <w:szCs w:val="32"/>
          <w:lang w:val="en-US" w:eastAsia="zh-CN"/>
        </w:rPr>
        <w:t>。</w:t>
      </w:r>
      <w:r>
        <w:rPr>
          <w:rFonts w:hint="default" w:ascii="Times New Roman" w:hAnsi="Times New Roman" w:eastAsia="仿宋_GB2312" w:cs="Times New Roman"/>
          <w:color w:val="000000"/>
          <w:kern w:val="0"/>
          <w:sz w:val="32"/>
          <w:szCs w:val="32"/>
          <w:lang w:val="en-US" w:eastAsia="zh-CN"/>
        </w:rPr>
        <w:t>涉及政企协同、网厂协调和社会联动的</w:t>
      </w:r>
      <w:r>
        <w:rPr>
          <w:rFonts w:hint="eastAsia" w:ascii="Times New Roman" w:hAnsi="Times New Roman" w:eastAsia="仿宋_GB2312" w:cs="Times New Roman"/>
          <w:color w:val="000000"/>
          <w:kern w:val="0"/>
          <w:sz w:val="32"/>
          <w:szCs w:val="32"/>
          <w:lang w:val="en-US" w:eastAsia="zh-CN"/>
        </w:rPr>
        <w:t>涉电应急预案</w:t>
      </w:r>
      <w:r>
        <w:rPr>
          <w:rFonts w:hint="default" w:ascii="Times New Roman" w:hAnsi="Times New Roman" w:eastAsia="仿宋_GB2312" w:cs="Times New Roman"/>
          <w:color w:val="000000"/>
          <w:kern w:val="0"/>
          <w:sz w:val="32"/>
          <w:szCs w:val="32"/>
          <w:lang w:val="en-US" w:eastAsia="zh-CN"/>
        </w:rPr>
        <w:t>的评审，可邀请政府相关部门、国家能源局及其派出机构和其他相关单位人员参加。</w:t>
      </w:r>
    </w:p>
    <w:p w14:paraId="31426507">
      <w:pPr>
        <w:keepNext w:val="0"/>
        <w:keepLines w:val="0"/>
        <w:pageBreakBefore w:val="0"/>
        <w:widowControl w:val="0"/>
        <w:numPr>
          <w:ilvl w:val="0"/>
          <w:numId w:val="1"/>
        </w:numPr>
        <w:shd w:val="clear" w:color="auto" w:fill="FFFFFF"/>
        <w:kinsoku/>
        <w:wordWrap/>
        <w:overflowPunct/>
        <w:topLinePunct w:val="0"/>
        <w:autoSpaceDE/>
        <w:autoSpaceDN/>
        <w:bidi w:val="0"/>
        <w:adjustRightInd/>
        <w:snapToGrid/>
        <w:spacing w:beforeLines="0" w:afterLines="0" w:line="578" w:lineRule="exact"/>
        <w:ind w:firstLine="640" w:firstLineChars="200"/>
        <w:jc w:val="left"/>
        <w:textAlignment w:val="auto"/>
        <w:rPr>
          <w:rFonts w:hint="default"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涉电应急预案</w:t>
      </w:r>
      <w:r>
        <w:rPr>
          <w:rFonts w:hint="default" w:ascii="Times New Roman" w:hAnsi="Times New Roman" w:eastAsia="仿宋_GB2312" w:cs="Times New Roman"/>
          <w:color w:val="000000"/>
          <w:kern w:val="0"/>
          <w:sz w:val="32"/>
          <w:szCs w:val="32"/>
          <w:lang w:val="en-US" w:eastAsia="zh-CN"/>
        </w:rPr>
        <w:t>评审结果应当形成评审意见，评审专家应当按照</w:t>
      </w:r>
      <w:r>
        <w:rPr>
          <w:rFonts w:hint="eastAsia" w:ascii="Times New Roman" w:hAnsi="Times New Roman" w:eastAsia="仿宋_GB2312" w:cs="Times New Roman"/>
          <w:color w:val="000000"/>
          <w:kern w:val="0"/>
          <w:sz w:val="32"/>
          <w:szCs w:val="32"/>
          <w:lang w:val="en-US" w:eastAsia="zh-CN"/>
        </w:rPr>
        <w:t>“</w:t>
      </w:r>
      <w:r>
        <w:rPr>
          <w:rFonts w:hint="default" w:ascii="Times New Roman" w:hAnsi="Times New Roman" w:eastAsia="仿宋_GB2312" w:cs="Times New Roman"/>
          <w:color w:val="000000"/>
          <w:kern w:val="0"/>
          <w:sz w:val="32"/>
          <w:szCs w:val="32"/>
          <w:lang w:val="en-US" w:eastAsia="zh-CN"/>
        </w:rPr>
        <w:t>谁评审、谁签字、谁负责</w:t>
      </w:r>
      <w:r>
        <w:rPr>
          <w:rFonts w:hint="eastAsia" w:ascii="Times New Roman" w:hAnsi="Times New Roman" w:eastAsia="仿宋_GB2312" w:cs="Times New Roman"/>
          <w:color w:val="000000"/>
          <w:kern w:val="0"/>
          <w:sz w:val="32"/>
          <w:szCs w:val="32"/>
          <w:lang w:val="en-US" w:eastAsia="zh-CN"/>
        </w:rPr>
        <w:t>”</w:t>
      </w:r>
      <w:r>
        <w:rPr>
          <w:rFonts w:hint="default" w:ascii="Times New Roman" w:hAnsi="Times New Roman" w:eastAsia="仿宋_GB2312" w:cs="Times New Roman"/>
          <w:color w:val="000000"/>
          <w:kern w:val="0"/>
          <w:sz w:val="32"/>
          <w:szCs w:val="32"/>
          <w:lang w:val="en-US" w:eastAsia="zh-CN"/>
        </w:rPr>
        <w:t>的原则在评审意见上签字，</w:t>
      </w:r>
      <w:r>
        <w:rPr>
          <w:rFonts w:hint="default" w:ascii="Times New Roman" w:hAnsi="Times New Roman" w:eastAsia="仿宋_GB2312" w:cs="Times New Roman"/>
          <w:color w:val="000000"/>
          <w:kern w:val="0"/>
          <w:sz w:val="32"/>
          <w:szCs w:val="32"/>
          <w:lang w:val="en-US" w:eastAsia="zh-CN"/>
        </w:rPr>
        <w:t>评审意见应当记录、存档。</w:t>
      </w:r>
      <w:r>
        <w:rPr>
          <w:rFonts w:hint="default" w:ascii="Times New Roman" w:hAnsi="Times New Roman" w:eastAsia="仿宋_GB2312" w:cs="Times New Roman"/>
          <w:color w:val="000000"/>
          <w:kern w:val="0"/>
          <w:sz w:val="32"/>
          <w:szCs w:val="32"/>
          <w:lang w:val="en-US" w:eastAsia="zh-CN"/>
        </w:rPr>
        <w:t>电力企业应当按照评审专家组意见对</w:t>
      </w:r>
      <w:r>
        <w:rPr>
          <w:rFonts w:hint="eastAsia" w:ascii="Times New Roman" w:hAnsi="Times New Roman" w:eastAsia="仿宋_GB2312" w:cs="Times New Roman"/>
          <w:color w:val="000000"/>
          <w:kern w:val="0"/>
          <w:sz w:val="32"/>
          <w:szCs w:val="32"/>
          <w:lang w:val="en-US" w:eastAsia="zh-CN"/>
        </w:rPr>
        <w:t>涉电应急预案</w:t>
      </w:r>
      <w:r>
        <w:rPr>
          <w:rFonts w:hint="default" w:ascii="Times New Roman" w:hAnsi="Times New Roman" w:eastAsia="仿宋_GB2312" w:cs="Times New Roman"/>
          <w:color w:val="000000"/>
          <w:kern w:val="0"/>
          <w:sz w:val="32"/>
          <w:szCs w:val="32"/>
          <w:lang w:val="en-US" w:eastAsia="zh-CN"/>
        </w:rPr>
        <w:t>进行修订完善。</w:t>
      </w:r>
    </w:p>
    <w:p w14:paraId="4C2D1999">
      <w:pPr>
        <w:keepNext w:val="0"/>
        <w:keepLines w:val="0"/>
        <w:pageBreakBefore w:val="0"/>
        <w:widowControl w:val="0"/>
        <w:numPr>
          <w:ilvl w:val="0"/>
          <w:numId w:val="1"/>
        </w:numPr>
        <w:shd w:val="clear" w:color="auto" w:fill="FFFFFF"/>
        <w:kinsoku/>
        <w:wordWrap/>
        <w:overflowPunct/>
        <w:topLinePunct w:val="0"/>
        <w:autoSpaceDE/>
        <w:autoSpaceDN/>
        <w:bidi w:val="0"/>
        <w:adjustRightInd/>
        <w:snapToGrid/>
        <w:spacing w:beforeLines="0" w:afterLines="0" w:line="578" w:lineRule="exact"/>
        <w:ind w:firstLine="640" w:firstLineChars="200"/>
        <w:jc w:val="both"/>
        <w:textAlignment w:val="auto"/>
        <w:rPr>
          <w:rFonts w:hint="default"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涉电应急预案</w:t>
      </w:r>
      <w:r>
        <w:rPr>
          <w:rFonts w:hint="default" w:ascii="Times New Roman" w:hAnsi="Times New Roman" w:eastAsia="仿宋_GB2312" w:cs="Times New Roman"/>
          <w:color w:val="000000"/>
          <w:kern w:val="0"/>
          <w:sz w:val="32"/>
          <w:szCs w:val="32"/>
          <w:lang w:val="en-US" w:eastAsia="zh-CN"/>
        </w:rPr>
        <w:t>评审应当保证应急预案的合规性、基本要素的完整性、预防措施的针对性、组织体系的科学性、响应程序的</w:t>
      </w:r>
      <w:r>
        <w:rPr>
          <w:rFonts w:hint="eastAsia" w:ascii="Times New Roman" w:hAnsi="Times New Roman" w:eastAsia="仿宋_GB2312" w:cs="Times New Roman"/>
          <w:color w:val="000000"/>
          <w:kern w:val="0"/>
          <w:sz w:val="32"/>
          <w:szCs w:val="32"/>
          <w:lang w:val="en-US" w:eastAsia="zh-CN"/>
        </w:rPr>
        <w:t>可</w:t>
      </w:r>
      <w:r>
        <w:rPr>
          <w:rFonts w:hint="default" w:ascii="Times New Roman" w:hAnsi="Times New Roman" w:eastAsia="仿宋_GB2312" w:cs="Times New Roman"/>
          <w:color w:val="000000"/>
          <w:kern w:val="0"/>
          <w:sz w:val="32"/>
          <w:szCs w:val="32"/>
          <w:lang w:val="en-US" w:eastAsia="zh-CN"/>
        </w:rPr>
        <w:t>操作性、保障措施的</w:t>
      </w:r>
      <w:r>
        <w:rPr>
          <w:rFonts w:hint="eastAsia" w:ascii="Times New Roman" w:hAnsi="Times New Roman" w:eastAsia="仿宋_GB2312" w:cs="Times New Roman"/>
          <w:color w:val="000000"/>
          <w:kern w:val="0"/>
          <w:sz w:val="32"/>
          <w:szCs w:val="32"/>
          <w:lang w:val="en-US" w:eastAsia="zh-CN"/>
        </w:rPr>
        <w:t>实用性和</w:t>
      </w:r>
      <w:r>
        <w:rPr>
          <w:rFonts w:hint="default" w:ascii="Times New Roman" w:hAnsi="Times New Roman" w:eastAsia="仿宋_GB2312" w:cs="Times New Roman"/>
          <w:color w:val="000000"/>
          <w:kern w:val="0"/>
          <w:sz w:val="32"/>
          <w:szCs w:val="32"/>
          <w:lang w:val="en-US" w:eastAsia="zh-CN"/>
        </w:rPr>
        <w:t>预案</w:t>
      </w:r>
      <w:r>
        <w:rPr>
          <w:rFonts w:hint="eastAsia" w:ascii="Times New Roman" w:hAnsi="Times New Roman" w:eastAsia="仿宋_GB2312" w:cs="Times New Roman"/>
          <w:color w:val="000000"/>
          <w:kern w:val="0"/>
          <w:sz w:val="32"/>
          <w:szCs w:val="32"/>
          <w:lang w:val="en-US" w:eastAsia="zh-CN"/>
        </w:rPr>
        <w:t>体系的有效</w:t>
      </w:r>
      <w:r>
        <w:rPr>
          <w:rFonts w:hint="default" w:ascii="Times New Roman" w:hAnsi="Times New Roman" w:eastAsia="仿宋_GB2312" w:cs="Times New Roman"/>
          <w:color w:val="000000"/>
          <w:kern w:val="0"/>
          <w:sz w:val="32"/>
          <w:szCs w:val="32"/>
          <w:lang w:val="en-US" w:eastAsia="zh-CN"/>
        </w:rPr>
        <w:t>衔接。</w:t>
      </w:r>
    </w:p>
    <w:p w14:paraId="5BE78801">
      <w:pPr>
        <w:keepNext w:val="0"/>
        <w:keepLines w:val="0"/>
        <w:pageBreakBefore w:val="0"/>
        <w:widowControl w:val="0"/>
        <w:numPr>
          <w:ilvl w:val="0"/>
          <w:numId w:val="1"/>
        </w:numPr>
        <w:shd w:val="clear" w:color="auto" w:fill="FFFFFF"/>
        <w:kinsoku/>
        <w:wordWrap/>
        <w:overflowPunct/>
        <w:topLinePunct w:val="0"/>
        <w:autoSpaceDE/>
        <w:autoSpaceDN/>
        <w:bidi w:val="0"/>
        <w:adjustRightInd/>
        <w:snapToGrid/>
        <w:spacing w:beforeLines="0" w:afterLines="0" w:line="578" w:lineRule="exact"/>
        <w:ind w:firstLine="640" w:firstLineChars="200"/>
        <w:jc w:val="both"/>
        <w:textAlignment w:val="auto"/>
        <w:rPr>
          <w:rFonts w:hint="default" w:ascii="Times New Roman" w:hAnsi="Times New Roman" w:eastAsia="仿宋_GB2312" w:cs="Times New Roman"/>
          <w:color w:val="000000"/>
          <w:kern w:val="0"/>
          <w:sz w:val="32"/>
          <w:szCs w:val="32"/>
          <w:lang w:val="en-US" w:eastAsia="zh-CN"/>
        </w:rPr>
      </w:pPr>
      <w:r>
        <w:rPr>
          <w:rFonts w:hint="default" w:ascii="Times New Roman" w:hAnsi="Times New Roman" w:eastAsia="仿宋_GB2312" w:cs="Times New Roman"/>
          <w:color w:val="000000"/>
          <w:kern w:val="0"/>
          <w:sz w:val="32"/>
          <w:szCs w:val="32"/>
          <w:lang w:val="en-US" w:eastAsia="zh-CN"/>
        </w:rPr>
        <w:t>电力企业</w:t>
      </w:r>
      <w:r>
        <w:rPr>
          <w:rFonts w:hint="eastAsia" w:ascii="Times New Roman" w:hAnsi="Times New Roman" w:eastAsia="仿宋_GB2312" w:cs="Times New Roman"/>
          <w:color w:val="000000"/>
          <w:kern w:val="0"/>
          <w:sz w:val="32"/>
          <w:szCs w:val="32"/>
          <w:lang w:val="en-US" w:eastAsia="zh-CN"/>
        </w:rPr>
        <w:t>涉电应急预案</w:t>
      </w:r>
      <w:r>
        <w:rPr>
          <w:rFonts w:hint="default" w:ascii="Times New Roman" w:hAnsi="Times New Roman" w:eastAsia="仿宋_GB2312" w:cs="Times New Roman"/>
          <w:color w:val="000000"/>
          <w:kern w:val="0"/>
          <w:sz w:val="32"/>
          <w:szCs w:val="32"/>
          <w:lang w:val="en-US" w:eastAsia="zh-CN"/>
        </w:rPr>
        <w:t>评审合格并履行内部审批程序后，由电力企业主要负责人签署印发。</w:t>
      </w:r>
    </w:p>
    <w:p w14:paraId="62EBC5F0">
      <w:pPr>
        <w:keepNext w:val="0"/>
        <w:keepLines w:val="0"/>
        <w:pageBreakBefore w:val="0"/>
        <w:widowControl w:val="0"/>
        <w:numPr>
          <w:ilvl w:val="0"/>
          <w:numId w:val="1"/>
        </w:numPr>
        <w:shd w:val="clear" w:color="auto" w:fill="FFFFFF"/>
        <w:kinsoku/>
        <w:wordWrap/>
        <w:overflowPunct/>
        <w:topLinePunct w:val="0"/>
        <w:autoSpaceDE/>
        <w:autoSpaceDN/>
        <w:bidi w:val="0"/>
        <w:adjustRightInd/>
        <w:snapToGrid/>
        <w:spacing w:beforeLines="0" w:afterLines="0" w:line="578" w:lineRule="exact"/>
        <w:ind w:firstLine="640" w:firstLineChars="200"/>
        <w:jc w:val="both"/>
        <w:textAlignment w:val="auto"/>
        <w:rPr>
          <w:rFonts w:hint="default" w:ascii="Times New Roman" w:hAnsi="Times New Roman" w:eastAsia="仿宋_GB2312" w:cs="Times New Roman"/>
          <w:color w:val="000000"/>
          <w:kern w:val="0"/>
          <w:sz w:val="32"/>
          <w:szCs w:val="32"/>
          <w:lang w:val="en-US" w:eastAsia="zh-CN"/>
        </w:rPr>
      </w:pPr>
      <w:r>
        <w:rPr>
          <w:rFonts w:hint="default" w:ascii="Times New Roman" w:hAnsi="Times New Roman" w:eastAsia="仿宋_GB2312" w:cs="Times New Roman"/>
          <w:color w:val="000000"/>
          <w:kern w:val="0"/>
          <w:sz w:val="32"/>
          <w:szCs w:val="32"/>
          <w:lang w:val="en-US" w:eastAsia="zh-CN"/>
        </w:rPr>
        <w:t>电力企业应当在</w:t>
      </w:r>
      <w:r>
        <w:rPr>
          <w:rFonts w:hint="eastAsia" w:ascii="Times New Roman" w:hAnsi="Times New Roman" w:eastAsia="仿宋_GB2312" w:cs="Times New Roman"/>
          <w:color w:val="000000"/>
          <w:kern w:val="0"/>
          <w:sz w:val="32"/>
          <w:szCs w:val="32"/>
          <w:lang w:val="en-US" w:eastAsia="zh-CN"/>
        </w:rPr>
        <w:t>涉电应急预案</w:t>
      </w:r>
      <w:r>
        <w:rPr>
          <w:rFonts w:hint="default" w:ascii="Times New Roman" w:hAnsi="Times New Roman" w:eastAsia="仿宋_GB2312" w:cs="Times New Roman"/>
          <w:color w:val="000000"/>
          <w:kern w:val="0"/>
          <w:sz w:val="32"/>
          <w:szCs w:val="32"/>
          <w:lang w:val="en-US" w:eastAsia="zh-CN"/>
        </w:rPr>
        <w:t>印发后的20个工作日内，依照下列规定将</w:t>
      </w:r>
      <w:r>
        <w:rPr>
          <w:rFonts w:hint="eastAsia" w:ascii="Times New Roman" w:hAnsi="Times New Roman" w:eastAsia="仿宋_GB2312" w:cs="Times New Roman"/>
          <w:color w:val="000000"/>
          <w:kern w:val="0"/>
          <w:sz w:val="32"/>
          <w:szCs w:val="32"/>
          <w:lang w:val="en-US" w:eastAsia="zh-CN"/>
        </w:rPr>
        <w:t>涉电应急预案</w:t>
      </w:r>
      <w:r>
        <w:rPr>
          <w:rFonts w:hint="default" w:ascii="Times New Roman" w:hAnsi="Times New Roman" w:eastAsia="仿宋_GB2312" w:cs="Times New Roman"/>
          <w:color w:val="000000"/>
          <w:kern w:val="0"/>
          <w:sz w:val="32"/>
          <w:szCs w:val="32"/>
          <w:lang w:val="en-US" w:eastAsia="zh-CN"/>
        </w:rPr>
        <w:t>正式印发文本</w:t>
      </w:r>
      <w:r>
        <w:rPr>
          <w:rFonts w:hint="eastAsia" w:ascii="Times New Roman" w:hAnsi="Times New Roman" w:eastAsia="仿宋_GB2312" w:cs="Times New Roman"/>
          <w:color w:val="000000"/>
          <w:kern w:val="0"/>
          <w:sz w:val="32"/>
          <w:szCs w:val="32"/>
          <w:lang w:val="en-US" w:eastAsia="zh-CN"/>
        </w:rPr>
        <w:t>及相关材料进行备案或</w:t>
      </w:r>
      <w:r>
        <w:rPr>
          <w:rFonts w:hint="default" w:ascii="Times New Roman" w:hAnsi="Times New Roman" w:eastAsia="仿宋_GB2312" w:cs="Times New Roman"/>
          <w:color w:val="000000"/>
          <w:kern w:val="0"/>
          <w:sz w:val="32"/>
          <w:szCs w:val="32"/>
          <w:lang w:val="en-US" w:eastAsia="zh-CN"/>
        </w:rPr>
        <w:t>抄送。</w:t>
      </w:r>
    </w:p>
    <w:p w14:paraId="07DB0AFE">
      <w:pPr>
        <w:keepNext w:val="0"/>
        <w:keepLines w:val="0"/>
        <w:pageBreakBefore w:val="0"/>
        <w:widowControl w:val="0"/>
        <w:numPr>
          <w:ilvl w:val="0"/>
          <w:numId w:val="0"/>
        </w:numPr>
        <w:shd w:val="clear" w:color="auto" w:fill="FFFFFF"/>
        <w:tabs>
          <w:tab w:val="left" w:pos="420"/>
        </w:tabs>
        <w:kinsoku/>
        <w:wordWrap/>
        <w:overflowPunct/>
        <w:topLinePunct w:val="0"/>
        <w:autoSpaceDE/>
        <w:autoSpaceDN/>
        <w:bidi w:val="0"/>
        <w:adjustRightInd/>
        <w:snapToGrid/>
        <w:spacing w:beforeLines="0" w:afterLines="0" w:line="578" w:lineRule="exact"/>
        <w:ind w:firstLine="640" w:firstLineChars="200"/>
        <w:jc w:val="left"/>
        <w:textAlignment w:val="auto"/>
        <w:rPr>
          <w:rFonts w:hint="default" w:ascii="Times New Roman" w:hAnsi="Times New Roman" w:eastAsia="仿宋_GB2312" w:cs="Times New Roman"/>
          <w:color w:val="000000"/>
          <w:kern w:val="0"/>
          <w:sz w:val="32"/>
          <w:szCs w:val="32"/>
          <w:lang w:val="en-US" w:eastAsia="zh-CN"/>
        </w:rPr>
      </w:pPr>
      <w:r>
        <w:rPr>
          <w:rFonts w:hint="default" w:ascii="Times New Roman" w:hAnsi="Times New Roman" w:eastAsia="仿宋_GB2312" w:cs="Times New Roman"/>
          <w:color w:val="000000"/>
          <w:kern w:val="0"/>
          <w:sz w:val="32"/>
          <w:szCs w:val="32"/>
          <w:lang w:val="en-US" w:eastAsia="zh-CN"/>
        </w:rPr>
        <w:t>（一）</w:t>
      </w:r>
      <w:r>
        <w:rPr>
          <w:rFonts w:hint="default" w:ascii="Times New Roman" w:hAnsi="Times New Roman" w:eastAsia="仿宋_GB2312" w:cs="Times New Roman"/>
          <w:color w:val="000000"/>
          <w:kern w:val="0"/>
          <w:sz w:val="32"/>
          <w:szCs w:val="32"/>
          <w:lang w:val="en-US" w:eastAsia="zh-CN"/>
        </w:rPr>
        <w:t>中央电力企业集团（总部）</w:t>
      </w:r>
      <w:r>
        <w:rPr>
          <w:rFonts w:hint="eastAsia" w:ascii="Times New Roman" w:hAnsi="Times New Roman" w:eastAsia="仿宋_GB2312" w:cs="Times New Roman"/>
          <w:color w:val="000000"/>
          <w:kern w:val="0"/>
          <w:sz w:val="32"/>
          <w:szCs w:val="32"/>
          <w:lang w:val="en-US" w:eastAsia="zh-CN"/>
        </w:rPr>
        <w:t>涉电应急预案报</w:t>
      </w:r>
      <w:r>
        <w:rPr>
          <w:rFonts w:hint="default" w:ascii="Times New Roman" w:hAnsi="Times New Roman" w:eastAsia="仿宋_GB2312" w:cs="Times New Roman"/>
          <w:color w:val="000000"/>
          <w:kern w:val="0"/>
          <w:sz w:val="32"/>
          <w:szCs w:val="32"/>
          <w:lang w:val="en-US" w:eastAsia="zh-CN"/>
        </w:rPr>
        <w:t>国家能源局</w:t>
      </w:r>
      <w:r>
        <w:rPr>
          <w:rFonts w:hint="eastAsia" w:ascii="Times New Roman" w:hAnsi="Times New Roman" w:eastAsia="仿宋_GB2312" w:cs="Times New Roman"/>
          <w:color w:val="000000"/>
          <w:kern w:val="0"/>
          <w:sz w:val="32"/>
          <w:szCs w:val="32"/>
          <w:lang w:val="en-US" w:eastAsia="zh-CN"/>
        </w:rPr>
        <w:t>备案，</w:t>
      </w:r>
      <w:r>
        <w:rPr>
          <w:rFonts w:hint="eastAsia" w:ascii="Times New Roman" w:hAnsi="Times New Roman" w:eastAsia="仿宋_GB2312" w:cs="Times New Roman"/>
          <w:color w:val="000000"/>
          <w:kern w:val="0"/>
          <w:sz w:val="32"/>
          <w:szCs w:val="32"/>
          <w:highlight w:val="none"/>
          <w:lang w:val="en-US" w:eastAsia="zh-CN"/>
        </w:rPr>
        <w:t>抄送应急管理部、企业主管机构</w:t>
      </w:r>
      <w:r>
        <w:rPr>
          <w:rFonts w:hint="eastAsia" w:ascii="Times New Roman" w:hAnsi="Times New Roman" w:eastAsia="仿宋_GB2312" w:cs="Times New Roman"/>
          <w:color w:val="000000"/>
          <w:kern w:val="0"/>
          <w:sz w:val="32"/>
          <w:szCs w:val="32"/>
          <w:lang w:val="en-US" w:eastAsia="zh-CN"/>
        </w:rPr>
        <w:t>。</w:t>
      </w:r>
    </w:p>
    <w:p w14:paraId="3CED5DE7">
      <w:pPr>
        <w:keepNext w:val="0"/>
        <w:keepLines w:val="0"/>
        <w:pageBreakBefore w:val="0"/>
        <w:widowControl w:val="0"/>
        <w:numPr>
          <w:ilvl w:val="0"/>
          <w:numId w:val="0"/>
        </w:numPr>
        <w:shd w:val="clear" w:color="auto" w:fill="FFFFFF"/>
        <w:tabs>
          <w:tab w:val="left" w:pos="420"/>
        </w:tabs>
        <w:kinsoku/>
        <w:wordWrap/>
        <w:overflowPunct/>
        <w:topLinePunct w:val="0"/>
        <w:autoSpaceDE/>
        <w:autoSpaceDN/>
        <w:bidi w:val="0"/>
        <w:adjustRightInd/>
        <w:snapToGrid/>
        <w:spacing w:beforeLines="0" w:afterLines="0" w:line="578" w:lineRule="exact"/>
        <w:ind w:firstLine="640" w:firstLineChars="200"/>
        <w:jc w:val="both"/>
        <w:textAlignment w:val="auto"/>
        <w:rPr>
          <w:rFonts w:hint="default" w:ascii="Times New Roman" w:hAnsi="Times New Roman" w:eastAsia="仿宋_GB2312" w:cs="Times New Roman"/>
          <w:strike/>
          <w:dstrike w:val="0"/>
          <w:color w:val="000000"/>
          <w:kern w:val="0"/>
          <w:sz w:val="32"/>
          <w:szCs w:val="32"/>
          <w:highlight w:val="none"/>
          <w:lang w:val="en-US" w:eastAsia="zh-CN"/>
        </w:rPr>
      </w:pPr>
      <w:r>
        <w:rPr>
          <w:rFonts w:hint="default" w:ascii="Times New Roman" w:hAnsi="Times New Roman" w:eastAsia="仿宋_GB2312" w:cs="Times New Roman"/>
          <w:color w:val="000000"/>
          <w:kern w:val="0"/>
          <w:sz w:val="32"/>
          <w:szCs w:val="32"/>
          <w:lang w:val="en-US" w:eastAsia="zh-CN"/>
        </w:rPr>
        <w:t>（二）中央电力企业集团所属单位、权属企业</w:t>
      </w:r>
      <w:r>
        <w:rPr>
          <w:rFonts w:hint="eastAsia" w:ascii="Times New Roman" w:hAnsi="Times New Roman" w:eastAsia="仿宋_GB2312" w:cs="Times New Roman"/>
          <w:color w:val="000000"/>
          <w:kern w:val="0"/>
          <w:sz w:val="32"/>
          <w:szCs w:val="32"/>
          <w:lang w:val="en-US" w:eastAsia="zh-CN"/>
        </w:rPr>
        <w:t>以及其他电力企业涉电应急预案备案</w:t>
      </w:r>
      <w:r>
        <w:rPr>
          <w:rFonts w:hint="eastAsia" w:ascii="Times New Roman" w:hAnsi="Times New Roman" w:eastAsia="仿宋_GB2312" w:cs="Times New Roman"/>
          <w:color w:val="000000"/>
          <w:kern w:val="0"/>
          <w:sz w:val="32"/>
          <w:szCs w:val="32"/>
          <w:highlight w:val="none"/>
          <w:lang w:val="en-US" w:eastAsia="zh-CN"/>
        </w:rPr>
        <w:t>由</w:t>
      </w:r>
      <w:r>
        <w:rPr>
          <w:rFonts w:hint="eastAsia" w:ascii="Times New Roman" w:hAnsi="Times New Roman" w:eastAsia="仿宋_GB2312" w:cs="Times New Roman"/>
          <w:color w:val="000000"/>
          <w:kern w:val="0"/>
          <w:sz w:val="32"/>
          <w:szCs w:val="32"/>
          <w:highlight w:val="none"/>
          <w:lang w:val="en-US" w:eastAsia="zh-CN"/>
        </w:rPr>
        <w:t>省级人民政府电力管理部门会同</w:t>
      </w:r>
      <w:r>
        <w:rPr>
          <w:rFonts w:hint="eastAsia" w:ascii="Times New Roman" w:hAnsi="Times New Roman" w:eastAsia="仿宋_GB2312" w:cs="Times New Roman"/>
          <w:color w:val="000000"/>
          <w:kern w:val="0"/>
          <w:sz w:val="32"/>
          <w:szCs w:val="32"/>
          <w:highlight w:val="none"/>
          <w:lang w:val="en-US" w:eastAsia="zh-CN"/>
        </w:rPr>
        <w:t>国家能源局派出机构明确。</w:t>
      </w:r>
    </w:p>
    <w:p w14:paraId="2EBD11B9">
      <w:pPr>
        <w:keepNext w:val="0"/>
        <w:keepLines w:val="0"/>
        <w:pageBreakBefore w:val="0"/>
        <w:widowControl w:val="0"/>
        <w:numPr>
          <w:ilvl w:val="0"/>
          <w:numId w:val="0"/>
        </w:numPr>
        <w:shd w:val="clear" w:color="auto" w:fill="FFFFFF"/>
        <w:tabs>
          <w:tab w:val="left" w:pos="420"/>
        </w:tabs>
        <w:kinsoku/>
        <w:wordWrap/>
        <w:overflowPunct/>
        <w:topLinePunct w:val="0"/>
        <w:autoSpaceDE/>
        <w:autoSpaceDN/>
        <w:bidi w:val="0"/>
        <w:adjustRightInd/>
        <w:snapToGrid/>
        <w:spacing w:beforeLines="0" w:afterLines="0" w:line="578" w:lineRule="exact"/>
        <w:ind w:leftChars="200" w:firstLine="0" w:firstLineChars="0"/>
        <w:jc w:val="left"/>
        <w:textAlignment w:val="auto"/>
        <w:rPr>
          <w:rFonts w:hint="default" w:ascii="Times New Roman" w:hAnsi="Times New Roman" w:eastAsia="仿宋_GB2312" w:cs="Times New Roman"/>
          <w:color w:val="000000"/>
          <w:kern w:val="0"/>
          <w:sz w:val="32"/>
          <w:szCs w:val="32"/>
          <w:lang w:val="en-US" w:eastAsia="zh-CN"/>
        </w:rPr>
      </w:pPr>
    </w:p>
    <w:p w14:paraId="1D33C1BC">
      <w:pPr>
        <w:pStyle w:val="4"/>
        <w:jc w:val="center"/>
        <w:rPr>
          <w:rFonts w:hint="default" w:ascii="Times New Roman" w:hAnsi="Times New Roman" w:eastAsia="黑体" w:cs="Times New Roman"/>
          <w:color w:val="000000"/>
          <w:kern w:val="0"/>
          <w:sz w:val="32"/>
          <w:szCs w:val="36"/>
          <w:highlight w:val="none"/>
          <w:lang w:val="en-US" w:eastAsia="zh-CN"/>
        </w:rPr>
      </w:pPr>
      <w:r>
        <w:rPr>
          <w:rFonts w:hint="default" w:ascii="Times New Roman" w:hAnsi="Times New Roman" w:eastAsia="黑体" w:cs="Times New Roman"/>
          <w:color w:val="000000"/>
          <w:kern w:val="0"/>
          <w:sz w:val="32"/>
          <w:szCs w:val="36"/>
          <w:highlight w:val="none"/>
          <w:lang w:val="en-US" w:eastAsia="zh-CN"/>
        </w:rPr>
        <w:t>第</w:t>
      </w:r>
      <w:r>
        <w:rPr>
          <w:rFonts w:hint="default" w:ascii="Times New Roman" w:hAnsi="Times New Roman" w:cs="Times New Roman"/>
          <w:color w:val="000000"/>
          <w:kern w:val="0"/>
          <w:sz w:val="32"/>
          <w:szCs w:val="36"/>
          <w:highlight w:val="none"/>
          <w:lang w:val="en-US" w:eastAsia="zh-CN"/>
        </w:rPr>
        <w:t>四</w:t>
      </w:r>
      <w:r>
        <w:rPr>
          <w:rFonts w:hint="default" w:ascii="Times New Roman" w:hAnsi="Times New Roman" w:eastAsia="黑体" w:cs="Times New Roman"/>
          <w:color w:val="000000"/>
          <w:kern w:val="0"/>
          <w:sz w:val="32"/>
          <w:szCs w:val="36"/>
          <w:highlight w:val="none"/>
          <w:lang w:val="en-US" w:eastAsia="zh-CN"/>
        </w:rPr>
        <w:t>章  培训</w:t>
      </w:r>
      <w:r>
        <w:rPr>
          <w:rFonts w:hint="default" w:ascii="Times New Roman" w:hAnsi="Times New Roman" w:cs="Times New Roman"/>
          <w:color w:val="000000"/>
          <w:kern w:val="0"/>
          <w:sz w:val="32"/>
          <w:szCs w:val="36"/>
          <w:highlight w:val="none"/>
          <w:lang w:val="en-US" w:eastAsia="zh-CN"/>
        </w:rPr>
        <w:t>与演练</w:t>
      </w:r>
    </w:p>
    <w:p w14:paraId="09945E60">
      <w:pPr>
        <w:keepNext w:val="0"/>
        <w:keepLines w:val="0"/>
        <w:pageBreakBefore w:val="0"/>
        <w:widowControl w:val="0"/>
        <w:numPr>
          <w:ilvl w:val="0"/>
          <w:numId w:val="1"/>
        </w:numPr>
        <w:shd w:val="clear" w:color="auto" w:fill="FFFFFF"/>
        <w:kinsoku/>
        <w:wordWrap/>
        <w:overflowPunct/>
        <w:topLinePunct w:val="0"/>
        <w:autoSpaceDE/>
        <w:autoSpaceDN/>
        <w:bidi w:val="0"/>
        <w:adjustRightInd/>
        <w:snapToGrid/>
        <w:spacing w:beforeLines="0" w:afterLines="0" w:line="578" w:lineRule="exact"/>
        <w:ind w:firstLine="640" w:firstLineChars="200"/>
        <w:jc w:val="both"/>
        <w:textAlignment w:val="auto"/>
        <w:rPr>
          <w:rFonts w:hint="default" w:ascii="Times New Roman" w:hAnsi="Times New Roman" w:eastAsia="仿宋_GB2312" w:cs="Times New Roman"/>
          <w:color w:val="000000"/>
          <w:kern w:val="0"/>
          <w:sz w:val="32"/>
          <w:szCs w:val="32"/>
          <w:lang w:val="en-US" w:eastAsia="zh-CN"/>
        </w:rPr>
      </w:pPr>
      <w:r>
        <w:rPr>
          <w:rFonts w:hint="default" w:ascii="Times New Roman" w:hAnsi="Times New Roman" w:eastAsia="仿宋_GB2312" w:cs="Times New Roman"/>
          <w:color w:val="000000"/>
          <w:kern w:val="0"/>
          <w:sz w:val="32"/>
          <w:szCs w:val="32"/>
          <w:lang w:val="en-US" w:eastAsia="zh-CN"/>
        </w:rPr>
        <w:t>电力企业应当将</w:t>
      </w:r>
      <w:r>
        <w:rPr>
          <w:rFonts w:hint="eastAsia" w:ascii="Times New Roman" w:hAnsi="Times New Roman" w:eastAsia="仿宋_GB2312" w:cs="Times New Roman"/>
          <w:color w:val="000000"/>
          <w:kern w:val="0"/>
          <w:sz w:val="32"/>
          <w:szCs w:val="32"/>
          <w:lang w:val="en-US" w:eastAsia="zh-CN"/>
        </w:rPr>
        <w:t>涉电应急预案</w:t>
      </w:r>
      <w:r>
        <w:rPr>
          <w:rFonts w:hint="default" w:ascii="Times New Roman" w:hAnsi="Times New Roman" w:eastAsia="仿宋_GB2312" w:cs="Times New Roman"/>
          <w:color w:val="000000"/>
          <w:kern w:val="0"/>
          <w:sz w:val="32"/>
          <w:szCs w:val="32"/>
          <w:lang w:val="en-US" w:eastAsia="zh-CN"/>
        </w:rPr>
        <w:t>的培训纳入本单位安全生产培训工作计划，每年至少组织一次预案培训，并进行考核。培训的主要内容应当包括：本单位的</w:t>
      </w:r>
      <w:r>
        <w:rPr>
          <w:rFonts w:hint="eastAsia" w:ascii="Times New Roman" w:hAnsi="Times New Roman" w:eastAsia="仿宋_GB2312" w:cs="Times New Roman"/>
          <w:color w:val="000000"/>
          <w:kern w:val="0"/>
          <w:sz w:val="32"/>
          <w:szCs w:val="32"/>
          <w:lang w:val="en-US" w:eastAsia="zh-CN"/>
        </w:rPr>
        <w:t>涉电应急预案</w:t>
      </w:r>
      <w:r>
        <w:rPr>
          <w:rFonts w:hint="default" w:ascii="Times New Roman" w:hAnsi="Times New Roman" w:eastAsia="仿宋_GB2312" w:cs="Times New Roman"/>
          <w:color w:val="000000"/>
          <w:kern w:val="0"/>
          <w:sz w:val="32"/>
          <w:szCs w:val="32"/>
          <w:lang w:val="en-US" w:eastAsia="zh-CN"/>
        </w:rPr>
        <w:t>体系构成、应急组织机构及职责、应急资源保障情况</w:t>
      </w:r>
      <w:r>
        <w:rPr>
          <w:rFonts w:hint="eastAsia" w:ascii="Times New Roman" w:hAnsi="Times New Roman" w:eastAsia="仿宋_GB2312" w:cs="Times New Roman"/>
          <w:color w:val="000000"/>
          <w:kern w:val="0"/>
          <w:sz w:val="32"/>
          <w:szCs w:val="32"/>
          <w:lang w:val="en-US" w:eastAsia="zh-CN"/>
        </w:rPr>
        <w:t>、</w:t>
      </w:r>
      <w:r>
        <w:rPr>
          <w:rFonts w:hint="default" w:ascii="Times New Roman" w:hAnsi="Times New Roman" w:eastAsia="仿宋_GB2312" w:cs="Times New Roman"/>
          <w:color w:val="000000"/>
          <w:kern w:val="0"/>
          <w:sz w:val="32"/>
          <w:szCs w:val="32"/>
          <w:lang w:val="en-US" w:eastAsia="zh-CN"/>
        </w:rPr>
        <w:t>针对</w:t>
      </w:r>
      <w:r>
        <w:rPr>
          <w:rFonts w:hint="eastAsia" w:ascii="Times New Roman" w:hAnsi="Times New Roman" w:eastAsia="仿宋_GB2312" w:cs="Times New Roman"/>
          <w:color w:val="000000"/>
          <w:kern w:val="0"/>
          <w:sz w:val="32"/>
          <w:szCs w:val="32"/>
          <w:lang w:val="en-US" w:eastAsia="zh-CN"/>
        </w:rPr>
        <w:t>相关</w:t>
      </w:r>
      <w:r>
        <w:rPr>
          <w:rFonts w:hint="default" w:ascii="Times New Roman" w:hAnsi="Times New Roman" w:eastAsia="仿宋_GB2312" w:cs="Times New Roman"/>
          <w:color w:val="000000"/>
          <w:kern w:val="0"/>
          <w:sz w:val="32"/>
          <w:szCs w:val="32"/>
          <w:lang w:val="en-US" w:eastAsia="zh-CN"/>
        </w:rPr>
        <w:t>突发事件的预防和处置措施等。教育培训和考核情况应当记录并归档。</w:t>
      </w:r>
    </w:p>
    <w:p w14:paraId="10C761CA">
      <w:pPr>
        <w:keepNext w:val="0"/>
        <w:keepLines w:val="0"/>
        <w:pageBreakBefore w:val="0"/>
        <w:widowControl w:val="0"/>
        <w:numPr>
          <w:ilvl w:val="0"/>
          <w:numId w:val="1"/>
        </w:numPr>
        <w:shd w:val="clear" w:color="auto" w:fill="FFFFFF"/>
        <w:kinsoku/>
        <w:wordWrap/>
        <w:overflowPunct/>
        <w:topLinePunct w:val="0"/>
        <w:autoSpaceDE/>
        <w:autoSpaceDN/>
        <w:bidi w:val="0"/>
        <w:adjustRightInd/>
        <w:snapToGrid/>
        <w:spacing w:beforeLines="0" w:afterLines="0" w:line="578" w:lineRule="exact"/>
        <w:ind w:firstLine="640" w:firstLineChars="200"/>
        <w:jc w:val="left"/>
        <w:textAlignment w:val="auto"/>
        <w:rPr>
          <w:rFonts w:hint="default" w:ascii="Times New Roman" w:hAnsi="Times New Roman" w:eastAsia="仿宋_GB2312" w:cs="Times New Roman"/>
          <w:color w:val="000000"/>
          <w:kern w:val="0"/>
          <w:sz w:val="32"/>
          <w:szCs w:val="32"/>
          <w:lang w:val="en-US" w:eastAsia="zh-CN"/>
        </w:rPr>
      </w:pPr>
      <w:r>
        <w:rPr>
          <w:rFonts w:hint="default" w:ascii="Times New Roman" w:hAnsi="Times New Roman" w:eastAsia="仿宋_GB2312" w:cs="Times New Roman"/>
          <w:color w:val="000000"/>
          <w:kern w:val="0"/>
          <w:sz w:val="32"/>
          <w:szCs w:val="32"/>
          <w:lang w:val="en-US" w:eastAsia="zh-CN"/>
        </w:rPr>
        <w:t>电力企业应当建立</w:t>
      </w:r>
      <w:r>
        <w:rPr>
          <w:rFonts w:hint="eastAsia" w:ascii="Times New Roman" w:hAnsi="Times New Roman" w:eastAsia="仿宋_GB2312" w:cs="Times New Roman"/>
          <w:color w:val="000000"/>
          <w:kern w:val="0"/>
          <w:sz w:val="32"/>
          <w:szCs w:val="32"/>
          <w:lang w:val="en-US" w:eastAsia="zh-CN"/>
        </w:rPr>
        <w:t>涉电应急预案</w:t>
      </w:r>
      <w:r>
        <w:rPr>
          <w:rFonts w:hint="default" w:ascii="Times New Roman" w:hAnsi="Times New Roman" w:eastAsia="仿宋_GB2312" w:cs="Times New Roman"/>
          <w:color w:val="000000"/>
          <w:kern w:val="0"/>
          <w:sz w:val="32"/>
          <w:szCs w:val="32"/>
          <w:lang w:val="en-US" w:eastAsia="zh-CN"/>
        </w:rPr>
        <w:t>演练制度，通过采取形式多样的方式方法，对</w:t>
      </w:r>
      <w:r>
        <w:rPr>
          <w:rFonts w:hint="eastAsia" w:ascii="Times New Roman" w:hAnsi="Times New Roman" w:eastAsia="仿宋_GB2312" w:cs="Times New Roman"/>
          <w:color w:val="000000"/>
          <w:kern w:val="0"/>
          <w:sz w:val="32"/>
          <w:szCs w:val="32"/>
          <w:lang w:val="en-US" w:eastAsia="zh-CN"/>
        </w:rPr>
        <w:t>涉电应急预案</w:t>
      </w:r>
      <w:r>
        <w:rPr>
          <w:rFonts w:hint="default" w:ascii="Times New Roman" w:hAnsi="Times New Roman" w:eastAsia="仿宋_GB2312" w:cs="Times New Roman"/>
          <w:color w:val="000000"/>
          <w:kern w:val="0"/>
          <w:sz w:val="32"/>
          <w:szCs w:val="32"/>
          <w:lang w:val="en-US" w:eastAsia="zh-CN"/>
        </w:rPr>
        <w:t>所涉及的单位、人员、装备、设施等组织演练。</w:t>
      </w:r>
      <w:r>
        <w:rPr>
          <w:rFonts w:hint="default" w:ascii="Times New Roman" w:hAnsi="Times New Roman" w:eastAsia="仿宋_GB2312" w:cs="Times New Roman"/>
          <w:color w:val="000000"/>
          <w:kern w:val="0"/>
          <w:sz w:val="32"/>
          <w:szCs w:val="32"/>
          <w:lang w:val="en-US" w:eastAsia="zh-CN"/>
        </w:rPr>
        <w:t>鼓励电力企业开展无脚本演练，</w:t>
      </w:r>
      <w:r>
        <w:rPr>
          <w:rFonts w:hint="eastAsia" w:ascii="Times New Roman" w:hAnsi="Times New Roman" w:eastAsia="仿宋_GB2312" w:cs="Times New Roman"/>
          <w:color w:val="000000"/>
          <w:kern w:val="0"/>
          <w:sz w:val="32"/>
          <w:szCs w:val="32"/>
          <w:lang w:val="en-US" w:eastAsia="zh-CN"/>
        </w:rPr>
        <w:t>增强</w:t>
      </w:r>
      <w:r>
        <w:rPr>
          <w:rFonts w:hint="default" w:ascii="Times New Roman" w:hAnsi="Times New Roman" w:eastAsia="仿宋_GB2312" w:cs="Times New Roman"/>
          <w:color w:val="000000"/>
          <w:kern w:val="0"/>
          <w:sz w:val="32"/>
          <w:szCs w:val="32"/>
          <w:lang w:val="en-US" w:eastAsia="zh-CN"/>
        </w:rPr>
        <w:t>演练效果。</w:t>
      </w:r>
    </w:p>
    <w:p w14:paraId="15E8B1BB">
      <w:pPr>
        <w:keepNext w:val="0"/>
        <w:keepLines w:val="0"/>
        <w:pageBreakBefore w:val="0"/>
        <w:widowControl w:val="0"/>
        <w:numPr>
          <w:ilvl w:val="0"/>
          <w:numId w:val="1"/>
        </w:numPr>
        <w:shd w:val="clear" w:color="auto" w:fill="FFFFFF"/>
        <w:kinsoku/>
        <w:wordWrap/>
        <w:overflowPunct/>
        <w:topLinePunct w:val="0"/>
        <w:autoSpaceDE/>
        <w:autoSpaceDN/>
        <w:bidi w:val="0"/>
        <w:adjustRightInd/>
        <w:snapToGrid/>
        <w:spacing w:beforeLines="0" w:afterLines="0" w:line="578" w:lineRule="exact"/>
        <w:ind w:firstLine="640" w:firstLineChars="200"/>
        <w:jc w:val="both"/>
        <w:textAlignment w:val="auto"/>
        <w:rPr>
          <w:rFonts w:hint="default" w:ascii="Times New Roman" w:hAnsi="Times New Roman" w:eastAsia="仿宋_GB2312" w:cs="Times New Roman"/>
          <w:color w:val="000000"/>
          <w:kern w:val="0"/>
          <w:sz w:val="32"/>
          <w:szCs w:val="32"/>
          <w:lang w:val="en-US" w:eastAsia="zh-CN"/>
        </w:rPr>
      </w:pPr>
      <w:r>
        <w:rPr>
          <w:rFonts w:hint="default" w:ascii="Times New Roman" w:hAnsi="Times New Roman" w:eastAsia="仿宋_GB2312" w:cs="Times New Roman"/>
          <w:color w:val="000000"/>
          <w:kern w:val="0"/>
          <w:sz w:val="32"/>
          <w:szCs w:val="32"/>
          <w:lang w:val="en-US" w:eastAsia="zh-CN"/>
        </w:rPr>
        <w:t>电力企业应当对</w:t>
      </w:r>
      <w:r>
        <w:rPr>
          <w:rFonts w:hint="eastAsia" w:ascii="Times New Roman" w:hAnsi="Times New Roman" w:eastAsia="仿宋_GB2312" w:cs="Times New Roman"/>
          <w:color w:val="000000"/>
          <w:kern w:val="0"/>
          <w:sz w:val="32"/>
          <w:szCs w:val="32"/>
          <w:lang w:val="en-US" w:eastAsia="zh-CN"/>
        </w:rPr>
        <w:t>涉电应急预案</w:t>
      </w:r>
      <w:r>
        <w:rPr>
          <w:rFonts w:hint="default" w:ascii="Times New Roman" w:hAnsi="Times New Roman" w:eastAsia="仿宋_GB2312" w:cs="Times New Roman"/>
          <w:color w:val="000000"/>
          <w:kern w:val="0"/>
          <w:sz w:val="32"/>
          <w:szCs w:val="32"/>
          <w:lang w:val="en-US" w:eastAsia="zh-CN"/>
        </w:rPr>
        <w:t>演练进行整体规划，并制定具体的应急演练计划。根据本单位的风险防控重点，</w:t>
      </w:r>
      <w:r>
        <w:rPr>
          <w:rFonts w:hint="eastAsia" w:ascii="Times New Roman" w:hAnsi="Times New Roman" w:eastAsia="仿宋_GB2312" w:cs="Times New Roman"/>
          <w:color w:val="000000"/>
          <w:kern w:val="0"/>
          <w:sz w:val="32"/>
          <w:szCs w:val="32"/>
          <w:lang w:val="en-US" w:eastAsia="zh-CN"/>
        </w:rPr>
        <w:t>涉电应急预案</w:t>
      </w:r>
      <w:r>
        <w:rPr>
          <w:rFonts w:hint="default" w:ascii="Times New Roman" w:hAnsi="Times New Roman" w:eastAsia="仿宋_GB2312" w:cs="Times New Roman"/>
          <w:color w:val="000000"/>
          <w:kern w:val="0"/>
          <w:sz w:val="32"/>
          <w:szCs w:val="32"/>
          <w:lang w:val="en-US" w:eastAsia="zh-CN"/>
        </w:rPr>
        <w:t>每3年至少进行一次演练。</w:t>
      </w:r>
    </w:p>
    <w:p w14:paraId="790DB763">
      <w:pPr>
        <w:keepNext w:val="0"/>
        <w:keepLines w:val="0"/>
        <w:pageBreakBefore w:val="0"/>
        <w:widowControl w:val="0"/>
        <w:numPr>
          <w:ilvl w:val="0"/>
          <w:numId w:val="1"/>
        </w:numPr>
        <w:shd w:val="clear" w:color="auto" w:fill="FFFFFF"/>
        <w:kinsoku/>
        <w:wordWrap/>
        <w:overflowPunct/>
        <w:topLinePunct w:val="0"/>
        <w:autoSpaceDE/>
        <w:autoSpaceDN/>
        <w:bidi w:val="0"/>
        <w:adjustRightInd/>
        <w:snapToGrid/>
        <w:spacing w:beforeLines="0" w:afterLines="0" w:line="578" w:lineRule="exact"/>
        <w:ind w:firstLine="640" w:firstLineChars="200"/>
        <w:jc w:val="both"/>
        <w:textAlignment w:val="auto"/>
        <w:rPr>
          <w:rFonts w:hint="default" w:ascii="Times New Roman" w:hAnsi="Times New Roman" w:eastAsia="仿宋_GB2312" w:cs="Times New Roman"/>
          <w:color w:val="000000"/>
          <w:kern w:val="0"/>
          <w:sz w:val="32"/>
          <w:szCs w:val="32"/>
          <w:lang w:val="en-US" w:eastAsia="zh-CN"/>
        </w:rPr>
      </w:pPr>
      <w:r>
        <w:rPr>
          <w:rFonts w:hint="default" w:ascii="Times New Roman" w:hAnsi="Times New Roman" w:eastAsia="仿宋_GB2312" w:cs="Times New Roman"/>
          <w:color w:val="000000"/>
          <w:kern w:val="0"/>
          <w:sz w:val="32"/>
          <w:szCs w:val="32"/>
          <w:lang w:val="en-US" w:eastAsia="zh-CN"/>
        </w:rPr>
        <w:t>电力企业在开展</w:t>
      </w:r>
      <w:r>
        <w:rPr>
          <w:rFonts w:hint="eastAsia" w:ascii="Times New Roman" w:hAnsi="Times New Roman" w:eastAsia="仿宋_GB2312" w:cs="Times New Roman"/>
          <w:color w:val="000000"/>
          <w:kern w:val="0"/>
          <w:sz w:val="32"/>
          <w:szCs w:val="32"/>
          <w:lang w:val="en-US" w:eastAsia="zh-CN"/>
        </w:rPr>
        <w:t>涉电应急预案</w:t>
      </w:r>
      <w:r>
        <w:rPr>
          <w:rFonts w:hint="default" w:ascii="Times New Roman" w:hAnsi="Times New Roman" w:eastAsia="仿宋_GB2312" w:cs="Times New Roman"/>
          <w:color w:val="000000"/>
          <w:kern w:val="0"/>
          <w:sz w:val="32"/>
          <w:szCs w:val="32"/>
          <w:lang w:val="en-US" w:eastAsia="zh-CN"/>
        </w:rPr>
        <w:t>演练后，应当组织对演练效果进行评估，针对演练过程中发现的问题对相关</w:t>
      </w:r>
      <w:r>
        <w:rPr>
          <w:rFonts w:hint="eastAsia" w:ascii="Times New Roman" w:hAnsi="Times New Roman" w:eastAsia="仿宋_GB2312" w:cs="Times New Roman"/>
          <w:color w:val="000000"/>
          <w:kern w:val="0"/>
          <w:sz w:val="32"/>
          <w:szCs w:val="32"/>
          <w:lang w:val="en-US" w:eastAsia="zh-CN"/>
        </w:rPr>
        <w:t>涉电应急预案</w:t>
      </w:r>
      <w:r>
        <w:rPr>
          <w:rFonts w:hint="default" w:ascii="Times New Roman" w:hAnsi="Times New Roman" w:eastAsia="仿宋_GB2312" w:cs="Times New Roman"/>
          <w:color w:val="000000"/>
          <w:kern w:val="0"/>
          <w:sz w:val="32"/>
          <w:szCs w:val="32"/>
          <w:lang w:val="en-US" w:eastAsia="zh-CN"/>
        </w:rPr>
        <w:t>提出修订意见，并组织落实意见要求。演练评估、修订意见以及落实情况应当有书面记录。</w:t>
      </w:r>
    </w:p>
    <w:p w14:paraId="7AC6C253">
      <w:pPr>
        <w:keepNext w:val="0"/>
        <w:keepLines w:val="0"/>
        <w:pageBreakBefore w:val="0"/>
        <w:widowControl w:val="0"/>
        <w:numPr>
          <w:ilvl w:val="0"/>
          <w:numId w:val="0"/>
        </w:numPr>
        <w:shd w:val="clear" w:color="auto" w:fill="FFFFFF"/>
        <w:tabs>
          <w:tab w:val="left" w:pos="420"/>
        </w:tabs>
        <w:kinsoku/>
        <w:wordWrap/>
        <w:overflowPunct/>
        <w:topLinePunct w:val="0"/>
        <w:autoSpaceDE/>
        <w:autoSpaceDN/>
        <w:bidi w:val="0"/>
        <w:adjustRightInd/>
        <w:snapToGrid/>
        <w:spacing w:beforeLines="0" w:afterLines="0" w:line="578" w:lineRule="exact"/>
        <w:ind w:leftChars="200" w:firstLine="0" w:firstLineChars="0"/>
        <w:jc w:val="left"/>
        <w:textAlignment w:val="auto"/>
        <w:rPr>
          <w:rFonts w:hint="default" w:ascii="Times New Roman" w:hAnsi="Times New Roman" w:eastAsia="仿宋_GB2312" w:cs="Times New Roman"/>
          <w:color w:val="000000"/>
          <w:kern w:val="0"/>
          <w:sz w:val="32"/>
          <w:szCs w:val="32"/>
          <w:lang w:val="en-US" w:eastAsia="zh-CN"/>
        </w:rPr>
      </w:pPr>
    </w:p>
    <w:p w14:paraId="01909A96">
      <w:pPr>
        <w:pStyle w:val="4"/>
        <w:jc w:val="center"/>
        <w:rPr>
          <w:rFonts w:hint="default" w:ascii="Times New Roman" w:hAnsi="Times New Roman" w:eastAsia="黑体" w:cs="Times New Roman"/>
          <w:color w:val="000000"/>
          <w:kern w:val="0"/>
          <w:sz w:val="32"/>
          <w:szCs w:val="36"/>
          <w:highlight w:val="none"/>
          <w:lang w:val="en-US" w:eastAsia="zh-CN"/>
        </w:rPr>
      </w:pPr>
      <w:r>
        <w:rPr>
          <w:rFonts w:hint="default" w:ascii="Times New Roman" w:hAnsi="Times New Roman" w:eastAsia="黑体" w:cs="Times New Roman"/>
          <w:color w:val="000000"/>
          <w:kern w:val="0"/>
          <w:sz w:val="32"/>
          <w:szCs w:val="36"/>
          <w:highlight w:val="none"/>
          <w:lang w:val="en-US" w:eastAsia="zh-CN"/>
        </w:rPr>
        <w:t>第</w:t>
      </w:r>
      <w:r>
        <w:rPr>
          <w:rFonts w:hint="default" w:ascii="Times New Roman" w:hAnsi="Times New Roman" w:cs="Times New Roman"/>
          <w:color w:val="000000"/>
          <w:kern w:val="0"/>
          <w:sz w:val="32"/>
          <w:szCs w:val="36"/>
          <w:highlight w:val="none"/>
          <w:lang w:val="en-US" w:eastAsia="zh-CN"/>
        </w:rPr>
        <w:t>五</w:t>
      </w:r>
      <w:r>
        <w:rPr>
          <w:rFonts w:hint="default" w:ascii="Times New Roman" w:hAnsi="Times New Roman" w:eastAsia="黑体" w:cs="Times New Roman"/>
          <w:color w:val="000000"/>
          <w:kern w:val="0"/>
          <w:sz w:val="32"/>
          <w:szCs w:val="36"/>
          <w:highlight w:val="none"/>
          <w:lang w:val="en-US" w:eastAsia="zh-CN"/>
        </w:rPr>
        <w:t xml:space="preserve">章  </w:t>
      </w:r>
      <w:r>
        <w:rPr>
          <w:rFonts w:hint="default" w:ascii="Times New Roman" w:hAnsi="Times New Roman" w:cs="Times New Roman"/>
          <w:color w:val="000000"/>
          <w:kern w:val="0"/>
          <w:sz w:val="32"/>
          <w:szCs w:val="36"/>
          <w:highlight w:val="none"/>
          <w:lang w:val="en-US" w:eastAsia="zh-CN"/>
        </w:rPr>
        <w:t>评估与</w:t>
      </w:r>
      <w:r>
        <w:rPr>
          <w:rFonts w:hint="default" w:ascii="Times New Roman" w:hAnsi="Times New Roman" w:eastAsia="黑体" w:cs="Times New Roman"/>
          <w:color w:val="000000"/>
          <w:kern w:val="0"/>
          <w:sz w:val="32"/>
          <w:szCs w:val="36"/>
          <w:highlight w:val="none"/>
          <w:lang w:val="en-US" w:eastAsia="zh-CN"/>
        </w:rPr>
        <w:t>修订</w:t>
      </w:r>
    </w:p>
    <w:p w14:paraId="12EE74EE">
      <w:pPr>
        <w:keepNext w:val="0"/>
        <w:keepLines w:val="0"/>
        <w:pageBreakBefore w:val="0"/>
        <w:widowControl w:val="0"/>
        <w:numPr>
          <w:ilvl w:val="0"/>
          <w:numId w:val="1"/>
        </w:numPr>
        <w:shd w:val="clear" w:color="auto" w:fill="FFFFFF"/>
        <w:kinsoku/>
        <w:wordWrap/>
        <w:overflowPunct/>
        <w:topLinePunct w:val="0"/>
        <w:autoSpaceDE/>
        <w:autoSpaceDN/>
        <w:bidi w:val="0"/>
        <w:adjustRightInd/>
        <w:snapToGrid/>
        <w:spacing w:beforeLines="0" w:afterLines="0" w:line="578" w:lineRule="exact"/>
        <w:ind w:firstLine="640" w:firstLineChars="200"/>
        <w:jc w:val="both"/>
        <w:textAlignment w:val="auto"/>
        <w:rPr>
          <w:rFonts w:hint="default" w:ascii="Times New Roman" w:hAnsi="Times New Roman" w:eastAsia="仿宋_GB2312" w:cs="Times New Roman"/>
          <w:color w:val="000000"/>
          <w:kern w:val="0"/>
          <w:sz w:val="32"/>
          <w:szCs w:val="32"/>
          <w:lang w:val="en-US" w:eastAsia="zh-CN"/>
        </w:rPr>
      </w:pPr>
      <w:r>
        <w:rPr>
          <w:rFonts w:hint="default" w:ascii="Times New Roman" w:hAnsi="Times New Roman" w:eastAsia="仿宋_GB2312" w:cs="Times New Roman"/>
          <w:color w:val="000000"/>
          <w:kern w:val="0"/>
          <w:sz w:val="32"/>
          <w:szCs w:val="32"/>
          <w:lang w:val="en-US" w:eastAsia="zh-CN"/>
        </w:rPr>
        <w:t>电力企业应当建立</w:t>
      </w:r>
      <w:r>
        <w:rPr>
          <w:rFonts w:hint="eastAsia" w:ascii="Times New Roman" w:hAnsi="Times New Roman" w:eastAsia="仿宋_GB2312" w:cs="Times New Roman"/>
          <w:color w:val="000000"/>
          <w:kern w:val="0"/>
          <w:sz w:val="32"/>
          <w:szCs w:val="32"/>
          <w:lang w:val="en-US" w:eastAsia="zh-CN"/>
        </w:rPr>
        <w:t>涉电应急预案</w:t>
      </w:r>
      <w:r>
        <w:rPr>
          <w:rFonts w:hint="default" w:ascii="Times New Roman" w:hAnsi="Times New Roman" w:eastAsia="仿宋_GB2312" w:cs="Times New Roman"/>
          <w:color w:val="000000"/>
          <w:kern w:val="0"/>
          <w:sz w:val="32"/>
          <w:szCs w:val="32"/>
          <w:lang w:val="en-US" w:eastAsia="zh-CN"/>
        </w:rPr>
        <w:t>定期评估制度，定期评估可以结合电力企业应急能力建设评估工作开展，原则上每3年至少评估一次，分析</w:t>
      </w:r>
      <w:r>
        <w:rPr>
          <w:rFonts w:hint="eastAsia" w:ascii="Times New Roman" w:hAnsi="Times New Roman" w:eastAsia="仿宋_GB2312" w:cs="Times New Roman"/>
          <w:color w:val="000000"/>
          <w:kern w:val="0"/>
          <w:sz w:val="32"/>
          <w:szCs w:val="32"/>
          <w:lang w:val="en-US" w:eastAsia="zh-CN"/>
        </w:rPr>
        <w:t>涉电应急预案</w:t>
      </w:r>
      <w:r>
        <w:rPr>
          <w:rFonts w:hint="default" w:ascii="Times New Roman" w:hAnsi="Times New Roman" w:eastAsia="仿宋_GB2312" w:cs="Times New Roman"/>
          <w:color w:val="000000"/>
          <w:kern w:val="0"/>
          <w:sz w:val="32"/>
          <w:szCs w:val="32"/>
          <w:lang w:val="en-US" w:eastAsia="zh-CN"/>
        </w:rPr>
        <w:t>内容的针对性、实用性和可操作性等，实现</w:t>
      </w:r>
      <w:r>
        <w:rPr>
          <w:rFonts w:hint="eastAsia" w:ascii="Times New Roman" w:hAnsi="Times New Roman" w:eastAsia="仿宋_GB2312" w:cs="Times New Roman"/>
          <w:color w:val="000000"/>
          <w:kern w:val="0"/>
          <w:sz w:val="32"/>
          <w:szCs w:val="32"/>
          <w:lang w:val="en-US" w:eastAsia="zh-CN"/>
        </w:rPr>
        <w:t>涉电应急预案</w:t>
      </w:r>
      <w:r>
        <w:rPr>
          <w:rFonts w:hint="default" w:ascii="Times New Roman" w:hAnsi="Times New Roman" w:eastAsia="仿宋_GB2312" w:cs="Times New Roman"/>
          <w:color w:val="000000"/>
          <w:kern w:val="0"/>
          <w:sz w:val="32"/>
          <w:szCs w:val="32"/>
          <w:lang w:val="en-US" w:eastAsia="zh-CN"/>
        </w:rPr>
        <w:t>的动态优化和科学规范管理。</w:t>
      </w:r>
    </w:p>
    <w:p w14:paraId="4612FC29">
      <w:pPr>
        <w:keepNext w:val="0"/>
        <w:keepLines w:val="0"/>
        <w:pageBreakBefore w:val="0"/>
        <w:widowControl w:val="0"/>
        <w:numPr>
          <w:ilvl w:val="0"/>
          <w:numId w:val="1"/>
        </w:numPr>
        <w:shd w:val="clear" w:color="auto" w:fill="FFFFFF"/>
        <w:kinsoku/>
        <w:wordWrap/>
        <w:overflowPunct/>
        <w:topLinePunct w:val="0"/>
        <w:autoSpaceDE/>
        <w:autoSpaceDN/>
        <w:bidi w:val="0"/>
        <w:adjustRightInd/>
        <w:snapToGrid/>
        <w:spacing w:beforeLines="0" w:afterLines="0" w:line="578" w:lineRule="exact"/>
        <w:ind w:firstLine="640" w:firstLineChars="200"/>
        <w:jc w:val="left"/>
        <w:textAlignment w:val="auto"/>
        <w:rPr>
          <w:rFonts w:hint="default" w:ascii="Times New Roman" w:hAnsi="Times New Roman" w:eastAsia="仿宋_GB2312" w:cs="Times New Roman"/>
          <w:color w:val="000000"/>
          <w:kern w:val="0"/>
          <w:sz w:val="32"/>
          <w:szCs w:val="32"/>
          <w:lang w:val="en-US" w:eastAsia="zh-CN"/>
        </w:rPr>
      </w:pPr>
      <w:r>
        <w:rPr>
          <w:rFonts w:hint="default" w:ascii="Times New Roman" w:hAnsi="Times New Roman" w:eastAsia="仿宋_GB2312" w:cs="Times New Roman"/>
          <w:color w:val="000000"/>
          <w:kern w:val="0"/>
          <w:sz w:val="32"/>
          <w:szCs w:val="32"/>
          <w:lang w:val="en-US" w:eastAsia="zh-CN"/>
        </w:rPr>
        <w:t>有下列情形之一的，电力企业应当及时对</w:t>
      </w:r>
      <w:r>
        <w:rPr>
          <w:rFonts w:hint="eastAsia" w:ascii="Times New Roman" w:hAnsi="Times New Roman" w:eastAsia="仿宋_GB2312" w:cs="Times New Roman"/>
          <w:color w:val="000000"/>
          <w:kern w:val="0"/>
          <w:sz w:val="32"/>
          <w:szCs w:val="32"/>
          <w:lang w:val="en-US" w:eastAsia="zh-CN"/>
        </w:rPr>
        <w:t>涉电应急预案</w:t>
      </w:r>
      <w:r>
        <w:rPr>
          <w:rFonts w:hint="default" w:ascii="Times New Roman" w:hAnsi="Times New Roman" w:eastAsia="仿宋_GB2312" w:cs="Times New Roman"/>
          <w:color w:val="000000"/>
          <w:kern w:val="0"/>
          <w:sz w:val="32"/>
          <w:szCs w:val="32"/>
          <w:lang w:val="en-US" w:eastAsia="zh-CN"/>
        </w:rPr>
        <w:t>进行修订：</w:t>
      </w:r>
    </w:p>
    <w:p w14:paraId="48E20D71">
      <w:pPr>
        <w:keepNext w:val="0"/>
        <w:keepLines w:val="0"/>
        <w:pageBreakBefore w:val="0"/>
        <w:widowControl w:val="0"/>
        <w:numPr>
          <w:ilvl w:val="0"/>
          <w:numId w:val="0"/>
        </w:numPr>
        <w:shd w:val="clear" w:color="auto" w:fill="FFFFFF"/>
        <w:tabs>
          <w:tab w:val="left" w:pos="420"/>
        </w:tabs>
        <w:kinsoku/>
        <w:wordWrap/>
        <w:overflowPunct/>
        <w:topLinePunct w:val="0"/>
        <w:autoSpaceDE/>
        <w:autoSpaceDN/>
        <w:bidi w:val="0"/>
        <w:adjustRightInd/>
        <w:snapToGrid/>
        <w:spacing w:beforeLines="0" w:afterLines="0" w:line="578" w:lineRule="exact"/>
        <w:ind w:firstLine="640" w:firstLineChars="200"/>
        <w:jc w:val="left"/>
        <w:textAlignment w:val="auto"/>
        <w:rPr>
          <w:rFonts w:hint="default" w:ascii="Times New Roman" w:hAnsi="Times New Roman" w:eastAsia="仿宋_GB2312" w:cs="Times New Roman"/>
          <w:color w:val="000000"/>
          <w:kern w:val="0"/>
          <w:sz w:val="32"/>
          <w:szCs w:val="32"/>
          <w:lang w:val="en-US" w:eastAsia="zh-CN"/>
        </w:rPr>
      </w:pPr>
      <w:r>
        <w:rPr>
          <w:rFonts w:hint="default" w:ascii="Times New Roman" w:hAnsi="Times New Roman" w:eastAsia="仿宋_GB2312" w:cs="Times New Roman"/>
          <w:color w:val="000000"/>
          <w:kern w:val="0"/>
          <w:sz w:val="32"/>
          <w:szCs w:val="32"/>
          <w:lang w:val="en-US" w:eastAsia="zh-CN"/>
        </w:rPr>
        <w:t>（一）依据的法律、法规、规章、标准及上位预案中的有关规定发生重大变化的；</w:t>
      </w:r>
    </w:p>
    <w:p w14:paraId="375E2937">
      <w:pPr>
        <w:keepNext w:val="0"/>
        <w:keepLines w:val="0"/>
        <w:pageBreakBefore w:val="0"/>
        <w:widowControl w:val="0"/>
        <w:numPr>
          <w:ilvl w:val="0"/>
          <w:numId w:val="0"/>
        </w:numPr>
        <w:shd w:val="clear" w:color="auto" w:fill="FFFFFF"/>
        <w:tabs>
          <w:tab w:val="left" w:pos="420"/>
        </w:tabs>
        <w:kinsoku/>
        <w:wordWrap/>
        <w:overflowPunct/>
        <w:topLinePunct w:val="0"/>
        <w:autoSpaceDE/>
        <w:autoSpaceDN/>
        <w:bidi w:val="0"/>
        <w:adjustRightInd/>
        <w:snapToGrid/>
        <w:spacing w:beforeLines="0" w:afterLines="0" w:line="578" w:lineRule="exact"/>
        <w:ind w:firstLine="640" w:firstLineChars="200"/>
        <w:jc w:val="left"/>
        <w:textAlignment w:val="auto"/>
        <w:rPr>
          <w:rFonts w:hint="default" w:ascii="Times New Roman" w:hAnsi="Times New Roman" w:eastAsia="仿宋_GB2312" w:cs="Times New Roman"/>
          <w:color w:val="000000"/>
          <w:kern w:val="0"/>
          <w:sz w:val="32"/>
          <w:szCs w:val="32"/>
          <w:lang w:val="en-US" w:eastAsia="zh-CN"/>
        </w:rPr>
      </w:pPr>
      <w:r>
        <w:rPr>
          <w:rFonts w:hint="default" w:ascii="Times New Roman" w:hAnsi="Times New Roman" w:eastAsia="仿宋_GB2312" w:cs="Times New Roman"/>
          <w:color w:val="000000"/>
          <w:kern w:val="0"/>
          <w:sz w:val="32"/>
          <w:szCs w:val="32"/>
          <w:lang w:val="en-US" w:eastAsia="zh-CN"/>
        </w:rPr>
        <w:t>（二）应急指挥机构及其职责发生调整的；</w:t>
      </w:r>
    </w:p>
    <w:p w14:paraId="7FA4CD8E">
      <w:pPr>
        <w:keepNext w:val="0"/>
        <w:keepLines w:val="0"/>
        <w:pageBreakBefore w:val="0"/>
        <w:widowControl w:val="0"/>
        <w:numPr>
          <w:ilvl w:val="0"/>
          <w:numId w:val="0"/>
        </w:numPr>
        <w:shd w:val="clear" w:color="auto" w:fill="FFFFFF"/>
        <w:tabs>
          <w:tab w:val="left" w:pos="420"/>
        </w:tabs>
        <w:kinsoku/>
        <w:wordWrap/>
        <w:overflowPunct/>
        <w:topLinePunct w:val="0"/>
        <w:autoSpaceDE/>
        <w:autoSpaceDN/>
        <w:bidi w:val="0"/>
        <w:adjustRightInd/>
        <w:snapToGrid/>
        <w:spacing w:beforeLines="0" w:afterLines="0" w:line="578" w:lineRule="exact"/>
        <w:ind w:firstLine="640" w:firstLineChars="200"/>
        <w:jc w:val="left"/>
        <w:textAlignment w:val="auto"/>
        <w:rPr>
          <w:rFonts w:hint="default" w:ascii="Times New Roman" w:hAnsi="Times New Roman" w:eastAsia="仿宋_GB2312" w:cs="Times New Roman"/>
          <w:color w:val="000000"/>
          <w:kern w:val="0"/>
          <w:sz w:val="32"/>
          <w:szCs w:val="32"/>
          <w:lang w:val="en-US" w:eastAsia="zh-CN"/>
        </w:rPr>
      </w:pPr>
      <w:r>
        <w:rPr>
          <w:rFonts w:hint="default" w:ascii="Times New Roman" w:hAnsi="Times New Roman" w:eastAsia="仿宋_GB2312" w:cs="Times New Roman"/>
          <w:color w:val="000000"/>
          <w:kern w:val="0"/>
          <w:sz w:val="32"/>
          <w:szCs w:val="32"/>
          <w:lang w:val="en-US" w:eastAsia="zh-CN"/>
        </w:rPr>
        <w:t>（三）安全生产面临的风险发生重大变化的；</w:t>
      </w:r>
    </w:p>
    <w:p w14:paraId="380AAC52">
      <w:pPr>
        <w:keepNext w:val="0"/>
        <w:keepLines w:val="0"/>
        <w:pageBreakBefore w:val="0"/>
        <w:widowControl w:val="0"/>
        <w:numPr>
          <w:ilvl w:val="0"/>
          <w:numId w:val="0"/>
        </w:numPr>
        <w:shd w:val="clear" w:color="auto" w:fill="FFFFFF"/>
        <w:tabs>
          <w:tab w:val="left" w:pos="420"/>
        </w:tabs>
        <w:kinsoku/>
        <w:wordWrap/>
        <w:overflowPunct/>
        <w:topLinePunct w:val="0"/>
        <w:autoSpaceDE/>
        <w:autoSpaceDN/>
        <w:bidi w:val="0"/>
        <w:adjustRightInd/>
        <w:snapToGrid/>
        <w:spacing w:beforeLines="0" w:afterLines="0" w:line="578" w:lineRule="exact"/>
        <w:ind w:firstLine="640" w:firstLineChars="200"/>
        <w:jc w:val="left"/>
        <w:textAlignment w:val="auto"/>
        <w:rPr>
          <w:rFonts w:hint="default" w:ascii="Times New Roman" w:hAnsi="Times New Roman" w:eastAsia="仿宋_GB2312" w:cs="Times New Roman"/>
          <w:color w:val="000000"/>
          <w:kern w:val="0"/>
          <w:sz w:val="32"/>
          <w:szCs w:val="32"/>
          <w:lang w:val="en-US" w:eastAsia="zh-CN"/>
        </w:rPr>
      </w:pPr>
      <w:r>
        <w:rPr>
          <w:rFonts w:hint="default" w:ascii="Times New Roman" w:hAnsi="Times New Roman" w:eastAsia="仿宋_GB2312" w:cs="Times New Roman"/>
          <w:color w:val="000000"/>
          <w:kern w:val="0"/>
          <w:sz w:val="32"/>
          <w:szCs w:val="32"/>
          <w:lang w:val="en-US" w:eastAsia="zh-CN"/>
        </w:rPr>
        <w:t>（四）应急能力或重要应急资源发生重大变化的；</w:t>
      </w:r>
    </w:p>
    <w:p w14:paraId="7A3366A4">
      <w:pPr>
        <w:keepNext w:val="0"/>
        <w:keepLines w:val="0"/>
        <w:pageBreakBefore w:val="0"/>
        <w:widowControl w:val="0"/>
        <w:numPr>
          <w:ilvl w:val="0"/>
          <w:numId w:val="0"/>
        </w:numPr>
        <w:shd w:val="clear" w:color="auto" w:fill="FFFFFF"/>
        <w:tabs>
          <w:tab w:val="left" w:pos="420"/>
        </w:tabs>
        <w:kinsoku/>
        <w:wordWrap/>
        <w:overflowPunct/>
        <w:topLinePunct w:val="0"/>
        <w:autoSpaceDE/>
        <w:autoSpaceDN/>
        <w:bidi w:val="0"/>
        <w:adjustRightInd/>
        <w:snapToGrid/>
        <w:spacing w:beforeLines="0" w:afterLines="0" w:line="578" w:lineRule="exact"/>
        <w:ind w:firstLine="640" w:firstLineChars="200"/>
        <w:jc w:val="left"/>
        <w:textAlignment w:val="auto"/>
        <w:rPr>
          <w:rFonts w:hint="default" w:ascii="Times New Roman" w:hAnsi="Times New Roman" w:eastAsia="仿宋_GB2312" w:cs="Times New Roman"/>
          <w:color w:val="000000"/>
          <w:kern w:val="0"/>
          <w:sz w:val="32"/>
          <w:szCs w:val="32"/>
          <w:lang w:val="en-US" w:eastAsia="zh-CN"/>
        </w:rPr>
      </w:pPr>
      <w:r>
        <w:rPr>
          <w:rFonts w:hint="default" w:ascii="Times New Roman" w:hAnsi="Times New Roman" w:eastAsia="仿宋_GB2312" w:cs="Times New Roman"/>
          <w:color w:val="000000"/>
          <w:kern w:val="0"/>
          <w:sz w:val="32"/>
          <w:szCs w:val="32"/>
          <w:lang w:val="en-US" w:eastAsia="zh-CN"/>
        </w:rPr>
        <w:t>（五）在应急演练、评估、应急处置中发现重大问题需要修订的；</w:t>
      </w:r>
    </w:p>
    <w:p w14:paraId="1D226B14">
      <w:pPr>
        <w:keepNext w:val="0"/>
        <w:keepLines w:val="0"/>
        <w:pageBreakBefore w:val="0"/>
        <w:widowControl w:val="0"/>
        <w:numPr>
          <w:ilvl w:val="0"/>
          <w:numId w:val="0"/>
        </w:numPr>
        <w:shd w:val="clear" w:color="auto" w:fill="FFFFFF"/>
        <w:tabs>
          <w:tab w:val="left" w:pos="420"/>
        </w:tabs>
        <w:kinsoku/>
        <w:wordWrap/>
        <w:overflowPunct/>
        <w:topLinePunct w:val="0"/>
        <w:autoSpaceDE/>
        <w:autoSpaceDN/>
        <w:bidi w:val="0"/>
        <w:adjustRightInd/>
        <w:snapToGrid/>
        <w:spacing w:beforeLines="0" w:afterLines="0" w:line="578" w:lineRule="exact"/>
        <w:ind w:firstLine="640" w:firstLineChars="200"/>
        <w:jc w:val="left"/>
        <w:textAlignment w:val="auto"/>
        <w:rPr>
          <w:rFonts w:hint="default" w:ascii="Times New Roman" w:hAnsi="Times New Roman" w:eastAsia="仿宋_GB2312" w:cs="Times New Roman"/>
          <w:color w:val="000000"/>
          <w:kern w:val="0"/>
          <w:sz w:val="32"/>
          <w:szCs w:val="32"/>
          <w:highlight w:val="none"/>
          <w:lang w:val="en-US" w:eastAsia="zh-CN"/>
        </w:rPr>
      </w:pPr>
      <w:r>
        <w:rPr>
          <w:rFonts w:hint="default" w:ascii="Times New Roman" w:hAnsi="Times New Roman" w:eastAsia="仿宋_GB2312" w:cs="Times New Roman"/>
          <w:color w:val="000000"/>
          <w:kern w:val="0"/>
          <w:sz w:val="32"/>
          <w:szCs w:val="32"/>
          <w:highlight w:val="none"/>
          <w:lang w:val="en-US" w:eastAsia="zh-CN"/>
        </w:rPr>
        <w:t>（六）编制单位认为应当修订的其他情况。</w:t>
      </w:r>
    </w:p>
    <w:p w14:paraId="04473D17">
      <w:pPr>
        <w:keepNext w:val="0"/>
        <w:keepLines w:val="0"/>
        <w:pageBreakBefore w:val="0"/>
        <w:widowControl w:val="0"/>
        <w:numPr>
          <w:ilvl w:val="0"/>
          <w:numId w:val="1"/>
        </w:numPr>
        <w:shd w:val="clear" w:color="auto" w:fill="FFFFFF"/>
        <w:kinsoku/>
        <w:wordWrap/>
        <w:overflowPunct/>
        <w:topLinePunct w:val="0"/>
        <w:autoSpaceDE/>
        <w:autoSpaceDN/>
        <w:bidi w:val="0"/>
        <w:adjustRightInd/>
        <w:snapToGrid/>
        <w:spacing w:beforeLines="0" w:afterLines="0" w:line="578" w:lineRule="exact"/>
        <w:ind w:firstLine="640" w:firstLineChars="200"/>
        <w:jc w:val="both"/>
        <w:textAlignment w:val="auto"/>
        <w:rPr>
          <w:rFonts w:hint="default" w:ascii="Times New Roman" w:hAnsi="Times New Roman" w:eastAsia="仿宋_GB2312" w:cs="Times New Roman"/>
          <w:color w:val="000000"/>
          <w:kern w:val="0"/>
          <w:sz w:val="32"/>
          <w:szCs w:val="32"/>
          <w:highlight w:val="none"/>
          <w:lang w:val="en-US" w:eastAsia="zh-CN"/>
        </w:rPr>
      </w:pPr>
      <w:r>
        <w:rPr>
          <w:rFonts w:hint="eastAsia" w:ascii="Times New Roman" w:hAnsi="Times New Roman" w:eastAsia="仿宋_GB2312" w:cs="Times New Roman"/>
          <w:color w:val="000000"/>
          <w:kern w:val="0"/>
          <w:sz w:val="32"/>
          <w:szCs w:val="32"/>
          <w:highlight w:val="none"/>
          <w:lang w:val="en-US" w:eastAsia="zh-CN"/>
        </w:rPr>
        <w:t>涉电应急预案</w:t>
      </w:r>
      <w:r>
        <w:rPr>
          <w:rFonts w:hint="default" w:ascii="Times New Roman" w:hAnsi="Times New Roman" w:eastAsia="仿宋_GB2312" w:cs="Times New Roman"/>
          <w:color w:val="000000"/>
          <w:kern w:val="0"/>
          <w:sz w:val="32"/>
          <w:szCs w:val="32"/>
          <w:highlight w:val="none"/>
          <w:lang w:val="en-US" w:eastAsia="zh-CN"/>
        </w:rPr>
        <w:t>修订涉及应急组织</w:t>
      </w:r>
      <w:r>
        <w:rPr>
          <w:rFonts w:hint="eastAsia" w:ascii="Times New Roman" w:hAnsi="Times New Roman" w:eastAsia="仿宋_GB2312" w:cs="Times New Roman"/>
          <w:color w:val="000000"/>
          <w:kern w:val="0"/>
          <w:sz w:val="32"/>
          <w:szCs w:val="32"/>
          <w:highlight w:val="none"/>
          <w:lang w:val="en-US" w:eastAsia="zh-CN"/>
        </w:rPr>
        <w:t>指挥</w:t>
      </w:r>
      <w:r>
        <w:rPr>
          <w:rFonts w:hint="default" w:ascii="Times New Roman" w:hAnsi="Times New Roman" w:eastAsia="仿宋_GB2312" w:cs="Times New Roman"/>
          <w:color w:val="000000"/>
          <w:kern w:val="0"/>
          <w:sz w:val="32"/>
          <w:szCs w:val="32"/>
          <w:highlight w:val="none"/>
          <w:lang w:val="en-US" w:eastAsia="zh-CN"/>
        </w:rPr>
        <w:t>体系与职责、应急处置程序、主要处置措施、</w:t>
      </w:r>
      <w:r>
        <w:rPr>
          <w:rFonts w:hint="eastAsia" w:ascii="Times New Roman" w:hAnsi="Times New Roman" w:eastAsia="仿宋_GB2312" w:cs="Times New Roman"/>
          <w:color w:val="000000"/>
          <w:kern w:val="0"/>
          <w:sz w:val="32"/>
          <w:szCs w:val="32"/>
          <w:highlight w:val="none"/>
          <w:lang w:val="en-US" w:eastAsia="zh-CN"/>
        </w:rPr>
        <w:t>突发</w:t>
      </w:r>
      <w:r>
        <w:rPr>
          <w:rFonts w:hint="default" w:ascii="Times New Roman" w:hAnsi="Times New Roman" w:eastAsia="仿宋_GB2312" w:cs="Times New Roman"/>
          <w:color w:val="000000"/>
          <w:kern w:val="0"/>
          <w:sz w:val="32"/>
          <w:szCs w:val="32"/>
          <w:highlight w:val="none"/>
          <w:lang w:val="en-US" w:eastAsia="zh-CN"/>
        </w:rPr>
        <w:t>事件分级标准等重要内容的，修订工作应当参照本办法规定的预案编制、评审</w:t>
      </w:r>
      <w:r>
        <w:rPr>
          <w:rFonts w:hint="eastAsia" w:ascii="Times New Roman" w:hAnsi="Times New Roman" w:eastAsia="仿宋_GB2312" w:cs="Times New Roman"/>
          <w:color w:val="000000"/>
          <w:kern w:val="0"/>
          <w:sz w:val="32"/>
          <w:szCs w:val="32"/>
          <w:highlight w:val="none"/>
          <w:lang w:val="en-US" w:eastAsia="zh-CN"/>
        </w:rPr>
        <w:t>、</w:t>
      </w:r>
      <w:r>
        <w:rPr>
          <w:rFonts w:hint="default" w:ascii="Times New Roman" w:hAnsi="Times New Roman" w:eastAsia="仿宋_GB2312" w:cs="Times New Roman"/>
          <w:color w:val="000000"/>
          <w:kern w:val="0"/>
          <w:sz w:val="32"/>
          <w:szCs w:val="32"/>
          <w:highlight w:val="none"/>
          <w:lang w:val="en-US" w:eastAsia="zh-CN"/>
        </w:rPr>
        <w:t>发布、备案程序组织进行。仅涉及其他内容的，修订程序可根据情况适当简化。</w:t>
      </w:r>
    </w:p>
    <w:p w14:paraId="1572C6AC">
      <w:pPr>
        <w:keepNext w:val="0"/>
        <w:keepLines w:val="0"/>
        <w:pageBreakBefore w:val="0"/>
        <w:widowControl w:val="0"/>
        <w:numPr>
          <w:ilvl w:val="0"/>
          <w:numId w:val="0"/>
        </w:numPr>
        <w:shd w:val="clear" w:color="auto" w:fill="FFFFFF"/>
        <w:tabs>
          <w:tab w:val="left" w:pos="420"/>
        </w:tabs>
        <w:kinsoku/>
        <w:wordWrap/>
        <w:overflowPunct/>
        <w:topLinePunct w:val="0"/>
        <w:autoSpaceDE/>
        <w:autoSpaceDN/>
        <w:bidi w:val="0"/>
        <w:adjustRightInd/>
        <w:snapToGrid/>
        <w:spacing w:beforeLines="0" w:afterLines="0" w:line="578" w:lineRule="exact"/>
        <w:ind w:leftChars="200" w:firstLine="0" w:firstLineChars="0"/>
        <w:jc w:val="left"/>
        <w:textAlignment w:val="auto"/>
        <w:rPr>
          <w:rFonts w:hint="default" w:ascii="Times New Roman" w:hAnsi="Times New Roman" w:eastAsia="仿宋_GB2312" w:cs="Times New Roman"/>
          <w:color w:val="000000"/>
          <w:kern w:val="0"/>
          <w:sz w:val="32"/>
          <w:szCs w:val="32"/>
          <w:lang w:val="en-US" w:eastAsia="zh-CN"/>
        </w:rPr>
      </w:pPr>
    </w:p>
    <w:p w14:paraId="379DB1C8">
      <w:pPr>
        <w:pStyle w:val="4"/>
        <w:jc w:val="center"/>
        <w:rPr>
          <w:rFonts w:hint="default" w:ascii="Times New Roman" w:hAnsi="Times New Roman" w:eastAsia="黑体" w:cs="Times New Roman"/>
          <w:color w:val="000000"/>
          <w:kern w:val="0"/>
          <w:sz w:val="32"/>
          <w:szCs w:val="36"/>
          <w:highlight w:val="none"/>
          <w:lang w:val="en-US" w:eastAsia="zh-CN"/>
        </w:rPr>
      </w:pPr>
      <w:r>
        <w:rPr>
          <w:rFonts w:hint="default" w:ascii="Times New Roman" w:hAnsi="Times New Roman" w:eastAsia="黑体" w:cs="Times New Roman"/>
          <w:color w:val="000000"/>
          <w:kern w:val="0"/>
          <w:sz w:val="32"/>
          <w:szCs w:val="36"/>
          <w:highlight w:val="none"/>
          <w:lang w:val="en-US" w:eastAsia="zh-CN"/>
        </w:rPr>
        <w:t>第</w:t>
      </w:r>
      <w:r>
        <w:rPr>
          <w:rFonts w:hint="default" w:ascii="Times New Roman" w:hAnsi="Times New Roman" w:cs="Times New Roman"/>
          <w:color w:val="000000"/>
          <w:kern w:val="0"/>
          <w:sz w:val="32"/>
          <w:szCs w:val="36"/>
          <w:highlight w:val="none"/>
          <w:lang w:val="en-US" w:eastAsia="zh-CN"/>
        </w:rPr>
        <w:t>六</w:t>
      </w:r>
      <w:r>
        <w:rPr>
          <w:rFonts w:hint="default" w:ascii="Times New Roman" w:hAnsi="Times New Roman" w:eastAsia="黑体" w:cs="Times New Roman"/>
          <w:color w:val="000000"/>
          <w:kern w:val="0"/>
          <w:sz w:val="32"/>
          <w:szCs w:val="36"/>
          <w:highlight w:val="none"/>
          <w:lang w:val="en-US" w:eastAsia="zh-CN"/>
        </w:rPr>
        <w:t xml:space="preserve">章 </w:t>
      </w:r>
      <w:r>
        <w:rPr>
          <w:rFonts w:hint="eastAsia" w:ascii="Times New Roman" w:hAnsi="Times New Roman" w:cs="Times New Roman"/>
          <w:color w:val="000000"/>
          <w:kern w:val="0"/>
          <w:sz w:val="32"/>
          <w:szCs w:val="36"/>
          <w:highlight w:val="none"/>
          <w:lang w:val="en-US" w:eastAsia="zh-CN"/>
        </w:rPr>
        <w:t xml:space="preserve"> </w:t>
      </w:r>
      <w:r>
        <w:rPr>
          <w:rFonts w:hint="eastAsia" w:ascii="Times New Roman" w:hAnsi="Times New Roman" w:cs="Times New Roman"/>
          <w:color w:val="000000"/>
          <w:kern w:val="0"/>
          <w:sz w:val="32"/>
          <w:szCs w:val="36"/>
          <w:highlight w:val="none"/>
          <w:lang w:val="en-US" w:eastAsia="zh-CN"/>
        </w:rPr>
        <w:t>保障和监督管理</w:t>
      </w:r>
    </w:p>
    <w:p w14:paraId="45FE5D6D">
      <w:pPr>
        <w:keepNext w:val="0"/>
        <w:keepLines w:val="0"/>
        <w:pageBreakBefore w:val="0"/>
        <w:widowControl w:val="0"/>
        <w:numPr>
          <w:ilvl w:val="0"/>
          <w:numId w:val="1"/>
        </w:numPr>
        <w:shd w:val="clear" w:color="auto" w:fill="FFFFFF"/>
        <w:kinsoku/>
        <w:wordWrap/>
        <w:overflowPunct/>
        <w:topLinePunct w:val="0"/>
        <w:autoSpaceDE/>
        <w:autoSpaceDN/>
        <w:bidi w:val="0"/>
        <w:adjustRightInd/>
        <w:snapToGrid/>
        <w:spacing w:beforeLines="0" w:afterLines="0" w:line="578" w:lineRule="exact"/>
        <w:ind w:firstLine="640" w:firstLineChars="200"/>
        <w:jc w:val="both"/>
        <w:textAlignment w:val="auto"/>
        <w:rPr>
          <w:rFonts w:hint="default"/>
          <w:lang w:val="en-US" w:eastAsia="zh-CN"/>
        </w:rPr>
      </w:pPr>
      <w:r>
        <w:rPr>
          <w:rFonts w:hint="eastAsia" w:ascii="Times New Roman" w:hAnsi="Times New Roman" w:eastAsia="仿宋_GB2312" w:cs="Times New Roman"/>
          <w:color w:val="000000"/>
          <w:kern w:val="0"/>
          <w:sz w:val="32"/>
          <w:szCs w:val="32"/>
          <w:lang w:val="en-US" w:eastAsia="zh-CN"/>
        </w:rPr>
        <w:t>电力企业要指定专门机构和人员负责相关工作，将涉电应急预案</w:t>
      </w:r>
      <w:r>
        <w:rPr>
          <w:rFonts w:hint="default" w:ascii="Times New Roman" w:hAnsi="Times New Roman" w:eastAsia="仿宋_GB2312" w:cs="Times New Roman"/>
          <w:color w:val="000000"/>
          <w:kern w:val="0"/>
          <w:sz w:val="32"/>
          <w:szCs w:val="32"/>
          <w:lang w:val="en-US" w:eastAsia="zh-CN"/>
        </w:rPr>
        <w:t>计划、编制、评审、发布、备案、培训、演练、评估和修订</w:t>
      </w:r>
      <w:r>
        <w:rPr>
          <w:rFonts w:hint="eastAsia" w:ascii="Times New Roman" w:hAnsi="Times New Roman" w:eastAsia="仿宋_GB2312" w:cs="Times New Roman"/>
          <w:color w:val="000000"/>
          <w:kern w:val="0"/>
          <w:sz w:val="32"/>
          <w:szCs w:val="32"/>
          <w:lang w:val="en-US" w:eastAsia="zh-CN"/>
        </w:rPr>
        <w:t>等所需经费纳入预算统筹安排。</w:t>
      </w:r>
    </w:p>
    <w:p w14:paraId="4645BE1F">
      <w:pPr>
        <w:keepNext w:val="0"/>
        <w:keepLines w:val="0"/>
        <w:pageBreakBefore w:val="0"/>
        <w:widowControl w:val="0"/>
        <w:numPr>
          <w:ilvl w:val="0"/>
          <w:numId w:val="1"/>
        </w:numPr>
        <w:shd w:val="clear" w:color="auto" w:fill="FFFFFF"/>
        <w:kinsoku/>
        <w:wordWrap/>
        <w:overflowPunct/>
        <w:topLinePunct w:val="0"/>
        <w:autoSpaceDE/>
        <w:autoSpaceDN/>
        <w:bidi w:val="0"/>
        <w:adjustRightInd/>
        <w:snapToGrid/>
        <w:spacing w:beforeLines="0" w:afterLines="0" w:line="578" w:lineRule="exact"/>
        <w:ind w:firstLine="640" w:firstLineChars="200"/>
        <w:jc w:val="both"/>
        <w:textAlignment w:val="auto"/>
        <w:rPr>
          <w:rFonts w:hint="default"/>
          <w:lang w:val="en-US" w:eastAsia="zh-CN"/>
        </w:rPr>
      </w:pPr>
      <w:r>
        <w:rPr>
          <w:rFonts w:hint="eastAsia" w:ascii="Times New Roman" w:hAnsi="Times New Roman" w:eastAsia="仿宋_GB2312" w:cs="Times New Roman"/>
          <w:color w:val="000000"/>
          <w:kern w:val="0"/>
          <w:sz w:val="32"/>
          <w:szCs w:val="32"/>
          <w:lang w:val="en-US" w:eastAsia="zh-CN"/>
        </w:rPr>
        <w:t>省级人民政府电力管理部门、</w:t>
      </w:r>
      <w:r>
        <w:rPr>
          <w:rFonts w:hint="default" w:ascii="Times New Roman" w:hAnsi="Times New Roman" w:eastAsia="仿宋_GB2312" w:cs="Times New Roman"/>
          <w:color w:val="000000"/>
          <w:kern w:val="0"/>
          <w:sz w:val="32"/>
          <w:szCs w:val="32"/>
          <w:lang w:val="en-US" w:eastAsia="zh-CN"/>
        </w:rPr>
        <w:t>国家能源局派出机构</w:t>
      </w:r>
      <w:r>
        <w:rPr>
          <w:rFonts w:hint="eastAsia" w:ascii="Times New Roman" w:hAnsi="Times New Roman" w:eastAsia="仿宋_GB2312" w:cs="Times New Roman"/>
          <w:color w:val="000000"/>
          <w:kern w:val="0"/>
          <w:sz w:val="32"/>
          <w:szCs w:val="32"/>
          <w:lang w:val="en-US" w:eastAsia="zh-CN"/>
        </w:rPr>
        <w:t>应加强电力企业涉电应急预案管理信息化建设，对电力企业涉电应急预案管理工作加强督查检查和工作指导，督促电力企业提升涉电应急预案管理质效。</w:t>
      </w:r>
    </w:p>
    <w:p w14:paraId="1C2A4222">
      <w:pPr>
        <w:numPr>
          <w:ilvl w:val="0"/>
          <w:numId w:val="1"/>
        </w:numPr>
        <w:shd w:val="clear" w:color="auto" w:fill="FFFFFF"/>
        <w:spacing w:beforeLines="0" w:afterLines="0" w:line="578" w:lineRule="exact"/>
        <w:ind w:firstLine="640" w:firstLineChars="0"/>
        <w:rPr>
          <w:rFonts w:hint="eastAsia" w:ascii="Times New Roman" w:hAnsi="Times New Roman" w:eastAsia="仿宋_GB2312" w:cs="Times New Roman"/>
          <w:color w:val="000000"/>
          <w:kern w:val="0"/>
          <w:sz w:val="32"/>
          <w:szCs w:val="32"/>
          <w:u w:val="none"/>
          <w:lang w:val="en-US" w:eastAsia="zh-CN"/>
        </w:rPr>
      </w:pPr>
      <w:r>
        <w:rPr>
          <w:rFonts w:hint="eastAsia" w:ascii="Times New Roman" w:hAnsi="Times New Roman" w:eastAsia="仿宋_GB2312" w:cs="Times New Roman"/>
          <w:color w:val="000000"/>
          <w:kern w:val="0"/>
          <w:sz w:val="32"/>
          <w:szCs w:val="32"/>
          <w:u w:val="none"/>
          <w:lang w:val="en-US" w:eastAsia="zh-CN"/>
        </w:rPr>
        <w:t>国家能源局及其派出机构、地方人民政府电力管理部门对电力企业未按照本规定开展涉电应急预案编制、评审、发布、备案、培训、演练、评估和修订等行为，应当责令电力企业限期改正；逾期未改正的，应当对电力企业有关人员开展约谈。</w:t>
      </w:r>
    </w:p>
    <w:p w14:paraId="43DCEE44">
      <w:pPr>
        <w:keepNext w:val="0"/>
        <w:keepLines w:val="0"/>
        <w:pageBreakBefore w:val="0"/>
        <w:widowControl w:val="0"/>
        <w:numPr>
          <w:ilvl w:val="0"/>
          <w:numId w:val="0"/>
        </w:numPr>
        <w:shd w:val="clear" w:color="auto" w:fill="FFFFFF"/>
        <w:tabs>
          <w:tab w:val="left" w:pos="420"/>
        </w:tabs>
        <w:kinsoku/>
        <w:wordWrap/>
        <w:overflowPunct/>
        <w:topLinePunct w:val="0"/>
        <w:autoSpaceDE/>
        <w:autoSpaceDN/>
        <w:bidi w:val="0"/>
        <w:adjustRightInd/>
        <w:snapToGrid/>
        <w:spacing w:beforeLines="0" w:afterLines="0" w:line="578" w:lineRule="exact"/>
        <w:ind w:leftChars="200" w:firstLine="0" w:firstLineChars="0"/>
        <w:jc w:val="left"/>
        <w:textAlignment w:val="auto"/>
        <w:rPr>
          <w:rFonts w:hint="default" w:ascii="Times New Roman" w:hAnsi="Times New Roman" w:eastAsia="仿宋_GB2312" w:cs="Times New Roman"/>
          <w:color w:val="000000"/>
          <w:kern w:val="0"/>
          <w:sz w:val="32"/>
          <w:szCs w:val="32"/>
          <w:lang w:val="en-US" w:eastAsia="zh-CN"/>
        </w:rPr>
      </w:pPr>
    </w:p>
    <w:p w14:paraId="63066FAB">
      <w:pPr>
        <w:pStyle w:val="4"/>
        <w:jc w:val="center"/>
        <w:rPr>
          <w:rFonts w:hint="default" w:ascii="Times New Roman" w:hAnsi="Times New Roman" w:eastAsia="黑体" w:cs="Times New Roman"/>
          <w:color w:val="000000"/>
          <w:kern w:val="0"/>
          <w:sz w:val="32"/>
          <w:szCs w:val="36"/>
          <w:highlight w:val="none"/>
          <w:lang w:val="en-US" w:eastAsia="zh-CN"/>
        </w:rPr>
      </w:pPr>
      <w:r>
        <w:rPr>
          <w:rFonts w:hint="default" w:ascii="Times New Roman" w:hAnsi="Times New Roman" w:eastAsia="黑体" w:cs="Times New Roman"/>
          <w:color w:val="000000"/>
          <w:kern w:val="0"/>
          <w:sz w:val="32"/>
          <w:szCs w:val="36"/>
          <w:highlight w:val="none"/>
          <w:lang w:val="en-US" w:eastAsia="zh-CN"/>
        </w:rPr>
        <w:t>第</w:t>
      </w:r>
      <w:r>
        <w:rPr>
          <w:rFonts w:hint="default" w:ascii="Times New Roman" w:hAnsi="Times New Roman" w:cs="Times New Roman"/>
          <w:color w:val="000000"/>
          <w:kern w:val="0"/>
          <w:sz w:val="32"/>
          <w:szCs w:val="36"/>
          <w:highlight w:val="none"/>
          <w:lang w:val="en-US" w:eastAsia="zh-CN"/>
        </w:rPr>
        <w:t>七</w:t>
      </w:r>
      <w:r>
        <w:rPr>
          <w:rFonts w:hint="default" w:ascii="Times New Roman" w:hAnsi="Times New Roman" w:eastAsia="黑体" w:cs="Times New Roman"/>
          <w:color w:val="000000"/>
          <w:kern w:val="0"/>
          <w:sz w:val="32"/>
          <w:szCs w:val="36"/>
          <w:highlight w:val="none"/>
          <w:lang w:val="en-US" w:eastAsia="zh-CN"/>
        </w:rPr>
        <w:t>章  附</w:t>
      </w:r>
      <w:r>
        <w:rPr>
          <w:rFonts w:hint="eastAsia" w:ascii="Times New Roman" w:hAnsi="Times New Roman" w:cs="Times New Roman"/>
          <w:color w:val="000000"/>
          <w:kern w:val="0"/>
          <w:sz w:val="32"/>
          <w:szCs w:val="36"/>
          <w:highlight w:val="none"/>
          <w:lang w:val="en-US" w:eastAsia="zh-CN"/>
        </w:rPr>
        <w:t xml:space="preserve"> </w:t>
      </w:r>
      <w:r>
        <w:rPr>
          <w:rFonts w:hint="default" w:ascii="Times New Roman" w:hAnsi="Times New Roman" w:eastAsia="黑体" w:cs="Times New Roman"/>
          <w:color w:val="000000"/>
          <w:kern w:val="0"/>
          <w:sz w:val="32"/>
          <w:szCs w:val="36"/>
          <w:highlight w:val="none"/>
          <w:lang w:val="en-US" w:eastAsia="zh-CN"/>
        </w:rPr>
        <w:t>则</w:t>
      </w:r>
    </w:p>
    <w:p w14:paraId="53089DBB">
      <w:pPr>
        <w:keepNext w:val="0"/>
        <w:keepLines w:val="0"/>
        <w:pageBreakBefore w:val="0"/>
        <w:widowControl w:val="0"/>
        <w:numPr>
          <w:ilvl w:val="0"/>
          <w:numId w:val="1"/>
        </w:numPr>
        <w:shd w:val="clear" w:color="auto" w:fill="FFFFFF"/>
        <w:kinsoku/>
        <w:wordWrap/>
        <w:overflowPunct/>
        <w:topLinePunct w:val="0"/>
        <w:autoSpaceDE/>
        <w:autoSpaceDN/>
        <w:bidi w:val="0"/>
        <w:adjustRightInd/>
        <w:snapToGrid/>
        <w:spacing w:beforeLines="0" w:afterLines="0" w:line="578" w:lineRule="exact"/>
        <w:ind w:firstLine="640" w:firstLineChars="200"/>
        <w:jc w:val="left"/>
        <w:textAlignment w:val="auto"/>
        <w:rPr>
          <w:rFonts w:hint="default" w:ascii="Times New Roman" w:hAnsi="Times New Roman" w:eastAsia="仿宋_GB2312" w:cs="Times New Roman"/>
          <w:color w:val="000000"/>
          <w:kern w:val="0"/>
          <w:sz w:val="32"/>
          <w:szCs w:val="32"/>
          <w:lang w:val="en-US" w:eastAsia="zh-CN"/>
        </w:rPr>
      </w:pPr>
      <w:r>
        <w:rPr>
          <w:rFonts w:hint="default" w:ascii="Times New Roman" w:hAnsi="Times New Roman" w:eastAsia="仿宋_GB2312" w:cs="Times New Roman"/>
          <w:color w:val="000000"/>
          <w:kern w:val="0"/>
          <w:sz w:val="32"/>
          <w:szCs w:val="32"/>
          <w:lang w:val="en-US" w:eastAsia="zh-CN"/>
        </w:rPr>
        <w:t>本办法中所称电力企业是指以从事发电、输电、供电生产和电力建设等为主营业务的企业</w:t>
      </w:r>
      <w:r>
        <w:rPr>
          <w:rFonts w:hint="eastAsia" w:ascii="Times New Roman" w:hAnsi="Times New Roman" w:eastAsia="仿宋_GB2312" w:cs="Times New Roman"/>
          <w:color w:val="000000"/>
          <w:kern w:val="0"/>
          <w:sz w:val="32"/>
          <w:szCs w:val="32"/>
          <w:lang w:val="en-US" w:eastAsia="zh-CN"/>
        </w:rPr>
        <w:t>。</w:t>
      </w:r>
    </w:p>
    <w:p w14:paraId="098A8D3E">
      <w:pPr>
        <w:numPr>
          <w:ilvl w:val="0"/>
          <w:numId w:val="1"/>
        </w:numPr>
        <w:shd w:val="clear" w:color="auto" w:fill="FFFFFF"/>
        <w:spacing w:beforeLines="0" w:afterLines="0" w:line="578" w:lineRule="exact"/>
        <w:ind w:firstLine="640"/>
        <w:jc w:val="left"/>
        <w:rPr>
          <w:rFonts w:hint="default"/>
          <w:highlight w:val="none"/>
          <w:lang w:val="en-US" w:eastAsia="zh-CN"/>
        </w:rPr>
      </w:pPr>
      <w:r>
        <w:rPr>
          <w:rFonts w:hint="default" w:ascii="Times New Roman" w:hAnsi="Times New Roman" w:eastAsia="仿宋_GB2312" w:cs="Times New Roman"/>
          <w:color w:val="000000"/>
          <w:kern w:val="0"/>
          <w:sz w:val="32"/>
          <w:szCs w:val="32"/>
          <w:highlight w:val="none"/>
          <w:lang w:val="en-US" w:eastAsia="zh-CN"/>
        </w:rPr>
        <w:t>本办法所指电力安全事故依据《电力安全事故应急处置和调查处理条例》</w:t>
      </w:r>
      <w:r>
        <w:rPr>
          <w:rFonts w:hint="eastAsia" w:ascii="Times New Roman" w:hAnsi="Times New Roman" w:eastAsia="仿宋_GB2312" w:cs="Times New Roman"/>
          <w:color w:val="000000"/>
          <w:kern w:val="0"/>
          <w:sz w:val="32"/>
          <w:szCs w:val="32"/>
          <w:highlight w:val="none"/>
          <w:lang w:val="en-US" w:eastAsia="zh-CN"/>
        </w:rPr>
        <w:t>确定，所指电力生产安全事故依据《生产安全事故报告和调查处理条例》确定</w:t>
      </w:r>
      <w:r>
        <w:rPr>
          <w:rFonts w:hint="default" w:ascii="Times New Roman" w:hAnsi="Times New Roman" w:eastAsia="仿宋_GB2312" w:cs="Times New Roman"/>
          <w:color w:val="000000"/>
          <w:kern w:val="0"/>
          <w:sz w:val="32"/>
          <w:szCs w:val="32"/>
          <w:highlight w:val="none"/>
          <w:lang w:val="en-US" w:eastAsia="zh-CN"/>
        </w:rPr>
        <w:t>。</w:t>
      </w:r>
    </w:p>
    <w:p w14:paraId="59CD7229">
      <w:pPr>
        <w:keepNext w:val="0"/>
        <w:keepLines w:val="0"/>
        <w:pageBreakBefore w:val="0"/>
        <w:widowControl w:val="0"/>
        <w:numPr>
          <w:ilvl w:val="0"/>
          <w:numId w:val="1"/>
        </w:numPr>
        <w:shd w:val="clear" w:color="auto" w:fill="FFFFFF"/>
        <w:kinsoku/>
        <w:wordWrap/>
        <w:overflowPunct/>
        <w:topLinePunct w:val="0"/>
        <w:autoSpaceDE/>
        <w:autoSpaceDN/>
        <w:bidi w:val="0"/>
        <w:adjustRightInd/>
        <w:snapToGrid/>
        <w:spacing w:beforeLines="0" w:afterLines="0" w:line="578" w:lineRule="exact"/>
        <w:ind w:firstLine="640" w:firstLineChars="200"/>
        <w:jc w:val="left"/>
        <w:textAlignment w:val="auto"/>
        <w:rPr>
          <w:rFonts w:hint="default" w:ascii="Times New Roman" w:hAnsi="Times New Roman" w:eastAsia="仿宋_GB2312" w:cs="Times New Roman"/>
          <w:color w:val="000000"/>
          <w:kern w:val="0"/>
          <w:sz w:val="32"/>
          <w:szCs w:val="32"/>
          <w:lang w:val="en-US" w:eastAsia="zh-CN"/>
        </w:rPr>
      </w:pPr>
      <w:r>
        <w:rPr>
          <w:rFonts w:hint="default" w:ascii="Times New Roman" w:hAnsi="Times New Roman" w:eastAsia="仿宋_GB2312" w:cs="Times New Roman"/>
          <w:color w:val="000000"/>
          <w:kern w:val="0"/>
          <w:sz w:val="32"/>
          <w:szCs w:val="32"/>
          <w:lang w:val="en-US" w:eastAsia="zh-CN"/>
        </w:rPr>
        <w:t>核电站涉及核事件的应急预案管理工作不适用于本办法。</w:t>
      </w:r>
    </w:p>
    <w:p w14:paraId="3EB68E15">
      <w:pPr>
        <w:keepNext w:val="0"/>
        <w:keepLines w:val="0"/>
        <w:pageBreakBefore w:val="0"/>
        <w:widowControl w:val="0"/>
        <w:numPr>
          <w:ilvl w:val="0"/>
          <w:numId w:val="1"/>
        </w:numPr>
        <w:shd w:val="clear" w:color="auto" w:fill="FFFFFF"/>
        <w:kinsoku/>
        <w:wordWrap/>
        <w:overflowPunct/>
        <w:topLinePunct w:val="0"/>
        <w:autoSpaceDE/>
        <w:autoSpaceDN/>
        <w:bidi w:val="0"/>
        <w:adjustRightInd/>
        <w:snapToGrid/>
        <w:spacing w:beforeLines="0" w:afterLines="0" w:line="578" w:lineRule="exact"/>
        <w:ind w:firstLine="640" w:firstLineChars="200"/>
        <w:jc w:val="left"/>
        <w:textAlignment w:val="auto"/>
        <w:rPr>
          <w:rFonts w:hint="default" w:ascii="Times New Roman" w:hAnsi="Times New Roman" w:eastAsia="仿宋_GB2312" w:cs="Times New Roman"/>
          <w:color w:val="000000"/>
          <w:kern w:val="0"/>
          <w:sz w:val="32"/>
          <w:szCs w:val="32"/>
          <w:lang w:val="en-US" w:eastAsia="zh-CN"/>
        </w:rPr>
      </w:pPr>
      <w:r>
        <w:rPr>
          <w:rFonts w:hint="default" w:ascii="Times New Roman" w:hAnsi="Times New Roman" w:eastAsia="仿宋_GB2312" w:cs="Times New Roman"/>
          <w:color w:val="000000"/>
          <w:kern w:val="0"/>
          <w:sz w:val="32"/>
          <w:szCs w:val="32"/>
          <w:lang w:val="en-US" w:eastAsia="zh-CN"/>
        </w:rPr>
        <w:t>对涉及国家秘密的</w:t>
      </w:r>
      <w:r>
        <w:rPr>
          <w:rFonts w:hint="eastAsia" w:ascii="Times New Roman" w:hAnsi="Times New Roman" w:eastAsia="仿宋_GB2312" w:cs="Times New Roman"/>
          <w:color w:val="000000"/>
          <w:kern w:val="0"/>
          <w:sz w:val="32"/>
          <w:szCs w:val="32"/>
          <w:lang w:val="en-US" w:eastAsia="zh-CN"/>
        </w:rPr>
        <w:t>涉电应急预案</w:t>
      </w:r>
      <w:r>
        <w:rPr>
          <w:rFonts w:hint="default" w:ascii="Times New Roman" w:hAnsi="Times New Roman" w:eastAsia="仿宋_GB2312" w:cs="Times New Roman"/>
          <w:color w:val="000000"/>
          <w:kern w:val="0"/>
          <w:sz w:val="32"/>
          <w:szCs w:val="32"/>
          <w:lang w:val="en-US" w:eastAsia="zh-CN"/>
        </w:rPr>
        <w:t>，应当严格按照国家保密规定进行管理。</w:t>
      </w:r>
    </w:p>
    <w:p w14:paraId="5FCBA467">
      <w:pPr>
        <w:numPr>
          <w:ilvl w:val="0"/>
          <w:numId w:val="1"/>
        </w:numPr>
        <w:shd w:val="clear" w:color="auto" w:fill="FFFFFF"/>
        <w:spacing w:beforeLines="0" w:afterLines="0" w:line="578" w:lineRule="exact"/>
        <w:ind w:firstLine="640"/>
        <w:jc w:val="left"/>
        <w:rPr>
          <w:rFonts w:hint="default"/>
          <w:highlight w:val="none"/>
          <w:lang w:val="en-US" w:eastAsia="zh-CN"/>
        </w:rPr>
      </w:pPr>
      <w:r>
        <w:rPr>
          <w:rFonts w:hint="eastAsia" w:ascii="Times New Roman" w:hAnsi="Times New Roman" w:eastAsia="仿宋_GB2312" w:cs="Times New Roman"/>
          <w:color w:val="000000"/>
          <w:kern w:val="0"/>
          <w:sz w:val="32"/>
          <w:szCs w:val="32"/>
          <w:highlight w:val="none"/>
          <w:lang w:val="en-US" w:eastAsia="zh-CN"/>
        </w:rPr>
        <w:t>省级人民政府电力管理部门应会同国家能源局派出机构制定实施细则，明确电力企业涉电应急预案评审与备案的具体要求。</w:t>
      </w:r>
    </w:p>
    <w:p w14:paraId="74996CCE">
      <w:pPr>
        <w:keepNext w:val="0"/>
        <w:keepLines w:val="0"/>
        <w:pageBreakBefore w:val="0"/>
        <w:widowControl w:val="0"/>
        <w:numPr>
          <w:ilvl w:val="0"/>
          <w:numId w:val="1"/>
        </w:numPr>
        <w:shd w:val="clear" w:color="auto" w:fill="FFFFFF"/>
        <w:kinsoku/>
        <w:wordWrap/>
        <w:overflowPunct/>
        <w:topLinePunct w:val="0"/>
        <w:autoSpaceDE/>
        <w:autoSpaceDN/>
        <w:bidi w:val="0"/>
        <w:adjustRightInd/>
        <w:snapToGrid/>
        <w:spacing w:beforeLines="0" w:afterLines="0" w:line="578" w:lineRule="exact"/>
        <w:ind w:firstLine="640" w:firstLineChars="200"/>
        <w:jc w:val="left"/>
        <w:textAlignment w:val="auto"/>
        <w:rPr>
          <w:rFonts w:hint="default" w:ascii="Times New Roman" w:hAnsi="Times New Roman" w:eastAsia="仿宋_GB2312" w:cs="Times New Roman"/>
          <w:color w:val="000000"/>
          <w:kern w:val="0"/>
          <w:sz w:val="32"/>
          <w:szCs w:val="32"/>
          <w:lang w:val="en-US" w:eastAsia="zh-CN"/>
        </w:rPr>
      </w:pPr>
      <w:r>
        <w:rPr>
          <w:rFonts w:hint="default" w:ascii="Times New Roman" w:hAnsi="Times New Roman" w:eastAsia="仿宋_GB2312" w:cs="Times New Roman"/>
          <w:color w:val="000000"/>
          <w:kern w:val="0"/>
          <w:sz w:val="32"/>
          <w:szCs w:val="32"/>
          <w:lang w:val="en-US" w:eastAsia="zh-CN"/>
        </w:rPr>
        <w:t>本办法由国家能源局负责解释。</w:t>
      </w:r>
    </w:p>
    <w:p w14:paraId="3910BD29">
      <w:pPr>
        <w:numPr>
          <w:ilvl w:val="0"/>
          <w:numId w:val="1"/>
        </w:numPr>
        <w:shd w:val="clear" w:color="auto" w:fill="FFFFFF"/>
        <w:spacing w:beforeLines="0" w:afterLines="0" w:line="578" w:lineRule="exact"/>
        <w:ind w:firstLine="640"/>
        <w:jc w:val="left"/>
        <w:rPr>
          <w:rFonts w:hint="default" w:ascii="Times New Roman" w:hAnsi="Times New Roman" w:eastAsia="仿宋_GB2312" w:cs="Times New Roman"/>
          <w:color w:val="000000"/>
          <w:kern w:val="0"/>
          <w:sz w:val="32"/>
          <w:szCs w:val="32"/>
          <w:lang w:val="en-US" w:eastAsia="zh-CN"/>
        </w:rPr>
      </w:pPr>
      <w:r>
        <w:rPr>
          <w:rFonts w:hint="default" w:ascii="Times New Roman" w:hAnsi="Times New Roman" w:eastAsia="仿宋_GB2312" w:cs="Times New Roman"/>
          <w:color w:val="000000"/>
          <w:kern w:val="0"/>
          <w:sz w:val="32"/>
          <w:szCs w:val="32"/>
          <w:lang w:val="en-US" w:eastAsia="zh-CN"/>
        </w:rPr>
        <w:t>本办法自</w:t>
      </w:r>
      <w:r>
        <w:rPr>
          <w:rFonts w:hint="eastAsia" w:ascii="Times New Roman" w:hAnsi="Times New Roman" w:eastAsia="仿宋_GB2312" w:cs="Times New Roman"/>
          <w:color w:val="000000"/>
          <w:kern w:val="0"/>
          <w:sz w:val="32"/>
          <w:szCs w:val="32"/>
          <w:lang w:val="en-US" w:eastAsia="zh-CN"/>
        </w:rPr>
        <w:t>2025年8月1日</w:t>
      </w:r>
      <w:r>
        <w:rPr>
          <w:rFonts w:hint="default" w:ascii="Times New Roman" w:hAnsi="Times New Roman" w:eastAsia="仿宋_GB2312" w:cs="Times New Roman"/>
          <w:color w:val="000000"/>
          <w:kern w:val="0"/>
          <w:sz w:val="32"/>
          <w:szCs w:val="32"/>
          <w:lang w:val="en-US" w:eastAsia="zh-CN"/>
        </w:rPr>
        <w:t>起施行</w:t>
      </w:r>
      <w:r>
        <w:rPr>
          <w:rFonts w:hint="eastAsia" w:ascii="Times New Roman" w:hAnsi="Times New Roman" w:eastAsia="仿宋_GB2312" w:cs="Times New Roman"/>
          <w:color w:val="000000"/>
          <w:kern w:val="0"/>
          <w:sz w:val="32"/>
          <w:szCs w:val="32"/>
          <w:lang w:val="en-US" w:eastAsia="zh-CN"/>
        </w:rPr>
        <w:t>，有效期5年，施行之日起</w:t>
      </w:r>
      <w:r>
        <w:rPr>
          <w:rFonts w:hint="default" w:ascii="Times New Roman" w:hAnsi="Times New Roman" w:eastAsia="仿宋_GB2312" w:cs="Times New Roman"/>
          <w:color w:val="000000"/>
          <w:kern w:val="0"/>
          <w:sz w:val="32"/>
          <w:szCs w:val="32"/>
          <w:lang w:val="en-US" w:eastAsia="zh-CN"/>
        </w:rPr>
        <w:t>《电力企业应急预案管理办法》（国能安全〔2014〕508号）同时废止。</w:t>
      </w:r>
    </w:p>
    <w:sectPr>
      <w:footerReference r:id="rId3" w:type="default"/>
      <w:pgSz w:w="11906" w:h="16838"/>
      <w:pgMar w:top="2098" w:right="1474" w:bottom="1984" w:left="1587" w:header="851" w:footer="992" w:gutter="0"/>
      <w:pgNumType w:fmt="decimal" w:start="2"/>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C3C3DF">
    <w:pPr>
      <w:pStyle w:val="7"/>
      <w:rPr>
        <w:rFonts w:eastAsia="仿宋_GB2312"/>
      </w:rPr>
    </w:pPr>
    <w:r>
      <w:rPr>
        <w:sz w:val="18"/>
      </w:rPr>
      <mc:AlternateContent>
        <mc:Choice Requires="wps">
          <w:drawing>
            <wp:anchor distT="0" distB="0" distL="114300" distR="114300" simplePos="0" relativeHeight="251659264" behindDoc="0" locked="0" layoutInCell="1" allowOverlap="1">
              <wp:simplePos x="0" y="0"/>
              <wp:positionH relativeFrom="margin">
                <wp:posOffset>2159000</wp:posOffset>
              </wp:positionH>
              <wp:positionV relativeFrom="paragraph">
                <wp:posOffset>0</wp:posOffset>
              </wp:positionV>
              <wp:extent cx="1030605" cy="25527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030605" cy="255270"/>
                      </a:xfrm>
                      <a:prstGeom prst="rect">
                        <a:avLst/>
                      </a:prstGeom>
                      <a:noFill/>
                      <a:ln>
                        <a:noFill/>
                      </a:ln>
                    </wps:spPr>
                    <wps:txbx>
                      <w:txbxContent>
                        <w:p w14:paraId="40C42FF8">
                          <w:pPr>
                            <w:pStyle w:val="7"/>
                            <w:jc w:val="center"/>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p>
                      </w:txbxContent>
                    </wps:txbx>
                    <wps:bodyPr vert="horz" wrap="square" lIns="0" tIns="0" rIns="0" bIns="0" anchor="t" anchorCtr="0" upright="0"/>
                  </wps:wsp>
                </a:graphicData>
              </a:graphic>
            </wp:anchor>
          </w:drawing>
        </mc:Choice>
        <mc:Fallback>
          <w:pict>
            <v:shape id="_x0000_s1026" o:spid="_x0000_s1026" o:spt="202" type="#_x0000_t202" style="position:absolute;left:0pt;margin-left:170pt;margin-top:0pt;height:20.1pt;width:81.15pt;mso-position-horizontal-relative:margin;z-index:251659264;mso-width-relative:page;mso-height-relative:page;" filled="f" stroked="f" coordsize="21600,21600" o:gfxdata="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EY5jbbXAAAABwEAAA8AAAAAAAAA&#10;AQAgAAAAIgAAAGRycy9kb3ducmV2LnhtbFBLAQIUABQAAAAIAIdO4kCdbIX72QEAAKUDAAAOAAAA&#10;AAAAAAEAIAAAACYBAABkcnMvZTJvRG9jLnhtbFBLBQYAAAAABgAGAFkBAABxBQAAAAA=&#10;">
              <v:fill on="f" focussize="0,0"/>
              <v:stroke on="f"/>
              <v:imagedata o:title=""/>
              <o:lock v:ext="edit" aspectratio="f"/>
              <v:textbox inset="0mm,0mm,0mm,0mm">
                <w:txbxContent>
                  <w:p w14:paraId="40C42FF8">
                    <w:pPr>
                      <w:pStyle w:val="7"/>
                      <w:jc w:val="center"/>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p>
                </w:txbxContent>
              </v:textbox>
            </v:shape>
          </w:pict>
        </mc:Fallback>
      </mc:AlternateContent>
    </w:r>
  </w:p>
  <w:p w14:paraId="0611FFA5">
    <w:pPr>
      <w:pStyle w:val="7"/>
      <w:rPr>
        <w:rFonts w:eastAsia="仿宋_GB2312"/>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0686DE7"/>
    <w:multiLevelType w:val="singleLevel"/>
    <w:tmpl w:val="F0686DE7"/>
    <w:lvl w:ilvl="0" w:tentative="0">
      <w:start w:val="1"/>
      <w:numFmt w:val="chineseCounting"/>
      <w:suff w:val="space"/>
      <w:lvlText w:val="第%1条"/>
      <w:lvlJc w:val="left"/>
      <w:pPr>
        <w:tabs>
          <w:tab w:val="left" w:pos="420"/>
        </w:tabs>
        <w:ind w:left="0" w:firstLine="420"/>
      </w:pPr>
      <w:rPr>
        <w:rFonts w:hint="eastAsia" w:ascii="黑体" w:hAnsi="黑体" w:eastAsia="黑体" w:cs="黑体"/>
        <w:sz w:val="32"/>
        <w:szCs w:val="32"/>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revisionView w:markup="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g1MDVlOTZiMDRmMDMyYTM4MDNkNzZlYWI1OTIxYjYifQ=="/>
  </w:docVars>
  <w:rsids>
    <w:rsidRoot w:val="00CA3A51"/>
    <w:rsid w:val="00054189"/>
    <w:rsid w:val="00060178"/>
    <w:rsid w:val="000A21F4"/>
    <w:rsid w:val="000F7280"/>
    <w:rsid w:val="00136F33"/>
    <w:rsid w:val="00180D52"/>
    <w:rsid w:val="00193528"/>
    <w:rsid w:val="00292BAB"/>
    <w:rsid w:val="002E4E06"/>
    <w:rsid w:val="0033269E"/>
    <w:rsid w:val="003B0065"/>
    <w:rsid w:val="003B6167"/>
    <w:rsid w:val="003D26E8"/>
    <w:rsid w:val="00515331"/>
    <w:rsid w:val="005B3CFB"/>
    <w:rsid w:val="005F1FBF"/>
    <w:rsid w:val="00643AF0"/>
    <w:rsid w:val="00644F49"/>
    <w:rsid w:val="00650ECC"/>
    <w:rsid w:val="006601D2"/>
    <w:rsid w:val="006A3573"/>
    <w:rsid w:val="006F4055"/>
    <w:rsid w:val="007229A7"/>
    <w:rsid w:val="0076428A"/>
    <w:rsid w:val="007818B1"/>
    <w:rsid w:val="007A660E"/>
    <w:rsid w:val="00856F0A"/>
    <w:rsid w:val="00861DD5"/>
    <w:rsid w:val="0096045C"/>
    <w:rsid w:val="00985A2B"/>
    <w:rsid w:val="00A10B91"/>
    <w:rsid w:val="00A11267"/>
    <w:rsid w:val="00A366AC"/>
    <w:rsid w:val="00A37E4B"/>
    <w:rsid w:val="00B17853"/>
    <w:rsid w:val="00B77F00"/>
    <w:rsid w:val="00C04A7A"/>
    <w:rsid w:val="00CA3A51"/>
    <w:rsid w:val="00CB207C"/>
    <w:rsid w:val="00D01278"/>
    <w:rsid w:val="00E31564"/>
    <w:rsid w:val="00E442BE"/>
    <w:rsid w:val="00E52F76"/>
    <w:rsid w:val="00E727B5"/>
    <w:rsid w:val="00E96C21"/>
    <w:rsid w:val="00EA2C57"/>
    <w:rsid w:val="00EB2889"/>
    <w:rsid w:val="00ED54E7"/>
    <w:rsid w:val="00F02EBF"/>
    <w:rsid w:val="00F22F3D"/>
    <w:rsid w:val="00F27CBE"/>
    <w:rsid w:val="00F4595A"/>
    <w:rsid w:val="00F45C19"/>
    <w:rsid w:val="00F64229"/>
    <w:rsid w:val="00F814BF"/>
    <w:rsid w:val="00FE63C0"/>
    <w:rsid w:val="00FF1427"/>
    <w:rsid w:val="01141165"/>
    <w:rsid w:val="01311D17"/>
    <w:rsid w:val="0149590F"/>
    <w:rsid w:val="0176455A"/>
    <w:rsid w:val="01787946"/>
    <w:rsid w:val="018207C5"/>
    <w:rsid w:val="01852063"/>
    <w:rsid w:val="01AF70E0"/>
    <w:rsid w:val="01B41D4E"/>
    <w:rsid w:val="01C258DC"/>
    <w:rsid w:val="01D072AC"/>
    <w:rsid w:val="01F51D32"/>
    <w:rsid w:val="023D7393"/>
    <w:rsid w:val="024B6E08"/>
    <w:rsid w:val="025B142F"/>
    <w:rsid w:val="02742DBB"/>
    <w:rsid w:val="02755F03"/>
    <w:rsid w:val="02987C81"/>
    <w:rsid w:val="02A93B2F"/>
    <w:rsid w:val="02D40CFD"/>
    <w:rsid w:val="02FA67E0"/>
    <w:rsid w:val="03074F1A"/>
    <w:rsid w:val="0308133D"/>
    <w:rsid w:val="03353A41"/>
    <w:rsid w:val="035E6D77"/>
    <w:rsid w:val="035E700F"/>
    <w:rsid w:val="036A2207"/>
    <w:rsid w:val="03836A76"/>
    <w:rsid w:val="03863E70"/>
    <w:rsid w:val="03944313"/>
    <w:rsid w:val="03AA5DB1"/>
    <w:rsid w:val="03AF1619"/>
    <w:rsid w:val="03B629A7"/>
    <w:rsid w:val="03ED39BF"/>
    <w:rsid w:val="04093C2F"/>
    <w:rsid w:val="0430275A"/>
    <w:rsid w:val="045040E8"/>
    <w:rsid w:val="045E108C"/>
    <w:rsid w:val="04935ADE"/>
    <w:rsid w:val="04952BD1"/>
    <w:rsid w:val="04A34FB5"/>
    <w:rsid w:val="04CB6271"/>
    <w:rsid w:val="04D01847"/>
    <w:rsid w:val="04DA7EC1"/>
    <w:rsid w:val="05300C2B"/>
    <w:rsid w:val="057173E9"/>
    <w:rsid w:val="057F6DC9"/>
    <w:rsid w:val="05B47501"/>
    <w:rsid w:val="05DB04A3"/>
    <w:rsid w:val="05EF35A9"/>
    <w:rsid w:val="05F11A75"/>
    <w:rsid w:val="060F639F"/>
    <w:rsid w:val="064424ED"/>
    <w:rsid w:val="06565D7C"/>
    <w:rsid w:val="066E30C6"/>
    <w:rsid w:val="066F54A2"/>
    <w:rsid w:val="06A6726D"/>
    <w:rsid w:val="06B873E4"/>
    <w:rsid w:val="06CE625A"/>
    <w:rsid w:val="06EB6E0C"/>
    <w:rsid w:val="06FA0DFD"/>
    <w:rsid w:val="074D1B7C"/>
    <w:rsid w:val="07830DF3"/>
    <w:rsid w:val="079D4D5D"/>
    <w:rsid w:val="079E79DA"/>
    <w:rsid w:val="07AC5A5F"/>
    <w:rsid w:val="08054417"/>
    <w:rsid w:val="080812F8"/>
    <w:rsid w:val="082425D6"/>
    <w:rsid w:val="082C148A"/>
    <w:rsid w:val="08316AA1"/>
    <w:rsid w:val="08330197"/>
    <w:rsid w:val="084A1910"/>
    <w:rsid w:val="08600C54"/>
    <w:rsid w:val="087370B9"/>
    <w:rsid w:val="08B60D54"/>
    <w:rsid w:val="08B8700D"/>
    <w:rsid w:val="08BD20E2"/>
    <w:rsid w:val="08E157D9"/>
    <w:rsid w:val="08E51639"/>
    <w:rsid w:val="09057E7F"/>
    <w:rsid w:val="09070940"/>
    <w:rsid w:val="09271C52"/>
    <w:rsid w:val="09442803"/>
    <w:rsid w:val="094758C6"/>
    <w:rsid w:val="094F1943"/>
    <w:rsid w:val="09644C54"/>
    <w:rsid w:val="096D1D5A"/>
    <w:rsid w:val="0972165A"/>
    <w:rsid w:val="09BC63D8"/>
    <w:rsid w:val="09D27FF2"/>
    <w:rsid w:val="09D61B19"/>
    <w:rsid w:val="09EB0ED1"/>
    <w:rsid w:val="09F61D50"/>
    <w:rsid w:val="0A006E13"/>
    <w:rsid w:val="0A057545"/>
    <w:rsid w:val="0A414887"/>
    <w:rsid w:val="0A423E56"/>
    <w:rsid w:val="0A5627EE"/>
    <w:rsid w:val="0A575367"/>
    <w:rsid w:val="0ADB7197"/>
    <w:rsid w:val="0AE0030A"/>
    <w:rsid w:val="0AEF4386"/>
    <w:rsid w:val="0AF42096"/>
    <w:rsid w:val="0B036603"/>
    <w:rsid w:val="0B136931"/>
    <w:rsid w:val="0B1509D6"/>
    <w:rsid w:val="0B1D41C8"/>
    <w:rsid w:val="0B401884"/>
    <w:rsid w:val="0B652A83"/>
    <w:rsid w:val="0B6B7F48"/>
    <w:rsid w:val="0B815649"/>
    <w:rsid w:val="0B8A1ABB"/>
    <w:rsid w:val="0BAA41FF"/>
    <w:rsid w:val="0BB21CA6"/>
    <w:rsid w:val="0BEB340A"/>
    <w:rsid w:val="0C192317"/>
    <w:rsid w:val="0C2801BA"/>
    <w:rsid w:val="0C394690"/>
    <w:rsid w:val="0C6531BD"/>
    <w:rsid w:val="0C670CE3"/>
    <w:rsid w:val="0C801DA5"/>
    <w:rsid w:val="0C95105B"/>
    <w:rsid w:val="0CC47EE3"/>
    <w:rsid w:val="0CD6103F"/>
    <w:rsid w:val="0D010EC6"/>
    <w:rsid w:val="0D056389"/>
    <w:rsid w:val="0D8D7C0D"/>
    <w:rsid w:val="0D943BC3"/>
    <w:rsid w:val="0D995971"/>
    <w:rsid w:val="0D9C49BC"/>
    <w:rsid w:val="0DA46170"/>
    <w:rsid w:val="0DBB3199"/>
    <w:rsid w:val="0DC96D8B"/>
    <w:rsid w:val="0DCB704F"/>
    <w:rsid w:val="0DF67B1F"/>
    <w:rsid w:val="0E034A3B"/>
    <w:rsid w:val="0E325320"/>
    <w:rsid w:val="0E35096D"/>
    <w:rsid w:val="0E3F7C3D"/>
    <w:rsid w:val="0E5057A7"/>
    <w:rsid w:val="0E7673BC"/>
    <w:rsid w:val="0E7C2E8F"/>
    <w:rsid w:val="0E7E3C1D"/>
    <w:rsid w:val="0EB67D00"/>
    <w:rsid w:val="0EE24651"/>
    <w:rsid w:val="0F000B36"/>
    <w:rsid w:val="0F0A3BA7"/>
    <w:rsid w:val="0F1D3F24"/>
    <w:rsid w:val="0F1D717D"/>
    <w:rsid w:val="0F3254FC"/>
    <w:rsid w:val="0F421593"/>
    <w:rsid w:val="0F8A30F2"/>
    <w:rsid w:val="0FAD7A40"/>
    <w:rsid w:val="0FAE4E7B"/>
    <w:rsid w:val="0FBA29F7"/>
    <w:rsid w:val="0FCC70AF"/>
    <w:rsid w:val="0FCE0D7B"/>
    <w:rsid w:val="0FDA17CC"/>
    <w:rsid w:val="0FEB5787"/>
    <w:rsid w:val="103A670E"/>
    <w:rsid w:val="105452EB"/>
    <w:rsid w:val="108F25B6"/>
    <w:rsid w:val="10951D5B"/>
    <w:rsid w:val="10AE4464"/>
    <w:rsid w:val="10BE79F3"/>
    <w:rsid w:val="10CD58EE"/>
    <w:rsid w:val="10EC17B7"/>
    <w:rsid w:val="11185D82"/>
    <w:rsid w:val="1124713C"/>
    <w:rsid w:val="112B38FF"/>
    <w:rsid w:val="11423ACC"/>
    <w:rsid w:val="114333A1"/>
    <w:rsid w:val="11507843"/>
    <w:rsid w:val="11571581"/>
    <w:rsid w:val="11800151"/>
    <w:rsid w:val="12073257"/>
    <w:rsid w:val="12152F8F"/>
    <w:rsid w:val="12254886"/>
    <w:rsid w:val="122D6FB1"/>
    <w:rsid w:val="124D097B"/>
    <w:rsid w:val="1255782F"/>
    <w:rsid w:val="126637EB"/>
    <w:rsid w:val="1268663C"/>
    <w:rsid w:val="126D2DCB"/>
    <w:rsid w:val="128D0D77"/>
    <w:rsid w:val="12DE5A77"/>
    <w:rsid w:val="12EA7C73"/>
    <w:rsid w:val="130C6140"/>
    <w:rsid w:val="13370CE3"/>
    <w:rsid w:val="137B4394"/>
    <w:rsid w:val="13906D71"/>
    <w:rsid w:val="13923630"/>
    <w:rsid w:val="139D148E"/>
    <w:rsid w:val="13AB3BAB"/>
    <w:rsid w:val="13BB1914"/>
    <w:rsid w:val="13BF31B2"/>
    <w:rsid w:val="13DE2B63"/>
    <w:rsid w:val="14005579"/>
    <w:rsid w:val="14036F6F"/>
    <w:rsid w:val="14327E28"/>
    <w:rsid w:val="143B567E"/>
    <w:rsid w:val="143C6506"/>
    <w:rsid w:val="14465682"/>
    <w:rsid w:val="145C4EA5"/>
    <w:rsid w:val="14612A5B"/>
    <w:rsid w:val="146E1AE5"/>
    <w:rsid w:val="14755F67"/>
    <w:rsid w:val="14815EFD"/>
    <w:rsid w:val="14922004"/>
    <w:rsid w:val="14A14FAE"/>
    <w:rsid w:val="14DB04C0"/>
    <w:rsid w:val="151D606D"/>
    <w:rsid w:val="15223768"/>
    <w:rsid w:val="152534E9"/>
    <w:rsid w:val="1525798D"/>
    <w:rsid w:val="152B55E1"/>
    <w:rsid w:val="15425226"/>
    <w:rsid w:val="16885CB3"/>
    <w:rsid w:val="16BA4105"/>
    <w:rsid w:val="16BF6582"/>
    <w:rsid w:val="16C805D0"/>
    <w:rsid w:val="16FA2753"/>
    <w:rsid w:val="17123F41"/>
    <w:rsid w:val="1720040C"/>
    <w:rsid w:val="172D2B29"/>
    <w:rsid w:val="1736215B"/>
    <w:rsid w:val="176F3141"/>
    <w:rsid w:val="17885FB1"/>
    <w:rsid w:val="17AD77C6"/>
    <w:rsid w:val="17C90AA4"/>
    <w:rsid w:val="17CF1E32"/>
    <w:rsid w:val="18057602"/>
    <w:rsid w:val="180968AB"/>
    <w:rsid w:val="182312E1"/>
    <w:rsid w:val="18245CDA"/>
    <w:rsid w:val="183D6D9C"/>
    <w:rsid w:val="184B5853"/>
    <w:rsid w:val="18567E5D"/>
    <w:rsid w:val="185C244B"/>
    <w:rsid w:val="18625F4B"/>
    <w:rsid w:val="18714C97"/>
    <w:rsid w:val="18763F46"/>
    <w:rsid w:val="1888270D"/>
    <w:rsid w:val="18955EB5"/>
    <w:rsid w:val="189F7A56"/>
    <w:rsid w:val="18D73268"/>
    <w:rsid w:val="18E464E5"/>
    <w:rsid w:val="18EC4F6A"/>
    <w:rsid w:val="18FB1E14"/>
    <w:rsid w:val="193F1953"/>
    <w:rsid w:val="194C2D47"/>
    <w:rsid w:val="19543606"/>
    <w:rsid w:val="197E58BE"/>
    <w:rsid w:val="19DB686C"/>
    <w:rsid w:val="19E141FD"/>
    <w:rsid w:val="19F35EBD"/>
    <w:rsid w:val="1A093474"/>
    <w:rsid w:val="1A3D3083"/>
    <w:rsid w:val="1AB5530F"/>
    <w:rsid w:val="1ABB2922"/>
    <w:rsid w:val="1B18764C"/>
    <w:rsid w:val="1B271ED1"/>
    <w:rsid w:val="1B7156DA"/>
    <w:rsid w:val="1B745C58"/>
    <w:rsid w:val="1B7826D8"/>
    <w:rsid w:val="1B883283"/>
    <w:rsid w:val="1BA50EE0"/>
    <w:rsid w:val="1BA86C22"/>
    <w:rsid w:val="1C31132B"/>
    <w:rsid w:val="1CA060CF"/>
    <w:rsid w:val="1CD13F56"/>
    <w:rsid w:val="1CFC0FD3"/>
    <w:rsid w:val="1D063C00"/>
    <w:rsid w:val="1D183933"/>
    <w:rsid w:val="1D6661D8"/>
    <w:rsid w:val="1D9E208B"/>
    <w:rsid w:val="1DF36C21"/>
    <w:rsid w:val="1DFC5003"/>
    <w:rsid w:val="1DFE27E5"/>
    <w:rsid w:val="1E783441"/>
    <w:rsid w:val="1E786D7F"/>
    <w:rsid w:val="1E933BB9"/>
    <w:rsid w:val="1EA5569B"/>
    <w:rsid w:val="1EF76329"/>
    <w:rsid w:val="1F372797"/>
    <w:rsid w:val="1F3A2287"/>
    <w:rsid w:val="1F992FED"/>
    <w:rsid w:val="1FA92F69"/>
    <w:rsid w:val="1FBD157F"/>
    <w:rsid w:val="1FF24910"/>
    <w:rsid w:val="1FF40688"/>
    <w:rsid w:val="1FF77938"/>
    <w:rsid w:val="200F7B41"/>
    <w:rsid w:val="201F345A"/>
    <w:rsid w:val="204D7D98"/>
    <w:rsid w:val="20743577"/>
    <w:rsid w:val="20C91B14"/>
    <w:rsid w:val="20D306D6"/>
    <w:rsid w:val="21006E58"/>
    <w:rsid w:val="21090163"/>
    <w:rsid w:val="21353FAA"/>
    <w:rsid w:val="21743D9F"/>
    <w:rsid w:val="21937D83"/>
    <w:rsid w:val="21943963"/>
    <w:rsid w:val="21976845"/>
    <w:rsid w:val="21C347B6"/>
    <w:rsid w:val="21C916A0"/>
    <w:rsid w:val="221B63A0"/>
    <w:rsid w:val="222838B8"/>
    <w:rsid w:val="22347461"/>
    <w:rsid w:val="223C3892"/>
    <w:rsid w:val="22405324"/>
    <w:rsid w:val="2254749D"/>
    <w:rsid w:val="22644610"/>
    <w:rsid w:val="228B08AF"/>
    <w:rsid w:val="22992261"/>
    <w:rsid w:val="22A2261D"/>
    <w:rsid w:val="232474D6"/>
    <w:rsid w:val="23272B22"/>
    <w:rsid w:val="232A616E"/>
    <w:rsid w:val="233C481F"/>
    <w:rsid w:val="235F116A"/>
    <w:rsid w:val="236D1D98"/>
    <w:rsid w:val="23825FAA"/>
    <w:rsid w:val="23841D23"/>
    <w:rsid w:val="239C52BE"/>
    <w:rsid w:val="23A655AF"/>
    <w:rsid w:val="23AE0B4E"/>
    <w:rsid w:val="23BE3486"/>
    <w:rsid w:val="23E153D1"/>
    <w:rsid w:val="23F120E6"/>
    <w:rsid w:val="242006A3"/>
    <w:rsid w:val="243B4AD7"/>
    <w:rsid w:val="243E0123"/>
    <w:rsid w:val="24457704"/>
    <w:rsid w:val="249935DB"/>
    <w:rsid w:val="249B37C8"/>
    <w:rsid w:val="24A63F04"/>
    <w:rsid w:val="24B6415E"/>
    <w:rsid w:val="24B86E7F"/>
    <w:rsid w:val="24BE1264"/>
    <w:rsid w:val="24DC0DC7"/>
    <w:rsid w:val="24ED38F7"/>
    <w:rsid w:val="250174C1"/>
    <w:rsid w:val="250550E5"/>
    <w:rsid w:val="250F4AFD"/>
    <w:rsid w:val="254D19D5"/>
    <w:rsid w:val="25555D9A"/>
    <w:rsid w:val="25565941"/>
    <w:rsid w:val="2560231B"/>
    <w:rsid w:val="256C120A"/>
    <w:rsid w:val="2584425C"/>
    <w:rsid w:val="259D531E"/>
    <w:rsid w:val="25B02A14"/>
    <w:rsid w:val="25CA29E7"/>
    <w:rsid w:val="25DA0320"/>
    <w:rsid w:val="261B57CE"/>
    <w:rsid w:val="262E1CF0"/>
    <w:rsid w:val="26505D3B"/>
    <w:rsid w:val="265C6F87"/>
    <w:rsid w:val="266873CB"/>
    <w:rsid w:val="267C13D7"/>
    <w:rsid w:val="268214FA"/>
    <w:rsid w:val="26864004"/>
    <w:rsid w:val="26AC19D6"/>
    <w:rsid w:val="26BA69BD"/>
    <w:rsid w:val="26EA27E4"/>
    <w:rsid w:val="26EF5A9C"/>
    <w:rsid w:val="26F73EC3"/>
    <w:rsid w:val="27006754"/>
    <w:rsid w:val="27204CC9"/>
    <w:rsid w:val="27206206"/>
    <w:rsid w:val="274D4B49"/>
    <w:rsid w:val="27514612"/>
    <w:rsid w:val="27873B8F"/>
    <w:rsid w:val="279F5D05"/>
    <w:rsid w:val="27B22BA4"/>
    <w:rsid w:val="27F83F4A"/>
    <w:rsid w:val="28213B60"/>
    <w:rsid w:val="282615FA"/>
    <w:rsid w:val="28276C03"/>
    <w:rsid w:val="28277120"/>
    <w:rsid w:val="283755B5"/>
    <w:rsid w:val="283A6E54"/>
    <w:rsid w:val="283D6A99"/>
    <w:rsid w:val="28461F8F"/>
    <w:rsid w:val="28553C8E"/>
    <w:rsid w:val="285A12A4"/>
    <w:rsid w:val="287769FB"/>
    <w:rsid w:val="288B76AF"/>
    <w:rsid w:val="289F665A"/>
    <w:rsid w:val="28A80261"/>
    <w:rsid w:val="28A95D87"/>
    <w:rsid w:val="28BF37AE"/>
    <w:rsid w:val="28C02D57"/>
    <w:rsid w:val="28E33487"/>
    <w:rsid w:val="28EF079F"/>
    <w:rsid w:val="28F9550D"/>
    <w:rsid w:val="290F2F1B"/>
    <w:rsid w:val="292505F3"/>
    <w:rsid w:val="297628FC"/>
    <w:rsid w:val="29BE1CBB"/>
    <w:rsid w:val="2A6D1762"/>
    <w:rsid w:val="2AB949A8"/>
    <w:rsid w:val="2AC93434"/>
    <w:rsid w:val="2ACC79A7"/>
    <w:rsid w:val="2AEB1D00"/>
    <w:rsid w:val="2B154ECC"/>
    <w:rsid w:val="2B195446"/>
    <w:rsid w:val="2B552C19"/>
    <w:rsid w:val="2B5841C1"/>
    <w:rsid w:val="2B8C6973"/>
    <w:rsid w:val="2B91322F"/>
    <w:rsid w:val="2BAE7E7F"/>
    <w:rsid w:val="2BDD46C6"/>
    <w:rsid w:val="2BE74BAB"/>
    <w:rsid w:val="2BEA293F"/>
    <w:rsid w:val="2BEC2B5B"/>
    <w:rsid w:val="2C02237E"/>
    <w:rsid w:val="2C0C4FAB"/>
    <w:rsid w:val="2C153E60"/>
    <w:rsid w:val="2C164945"/>
    <w:rsid w:val="2C193BE3"/>
    <w:rsid w:val="2C252AFD"/>
    <w:rsid w:val="2C396FCF"/>
    <w:rsid w:val="2C542CDD"/>
    <w:rsid w:val="2C7B546C"/>
    <w:rsid w:val="2CDF0480"/>
    <w:rsid w:val="2CE13D42"/>
    <w:rsid w:val="2D157E8F"/>
    <w:rsid w:val="2D197EE7"/>
    <w:rsid w:val="2D1B3CE6"/>
    <w:rsid w:val="2D202B0C"/>
    <w:rsid w:val="2D2D6296"/>
    <w:rsid w:val="2D39592C"/>
    <w:rsid w:val="2D536E7A"/>
    <w:rsid w:val="2D5F664D"/>
    <w:rsid w:val="2D6A0806"/>
    <w:rsid w:val="2D83304B"/>
    <w:rsid w:val="2DF67CC1"/>
    <w:rsid w:val="2E0028ED"/>
    <w:rsid w:val="2E057F04"/>
    <w:rsid w:val="2E0E11CC"/>
    <w:rsid w:val="2E1819E5"/>
    <w:rsid w:val="2E5A6073"/>
    <w:rsid w:val="2E690F6A"/>
    <w:rsid w:val="2E867E06"/>
    <w:rsid w:val="2ED00581"/>
    <w:rsid w:val="2EFA08C6"/>
    <w:rsid w:val="2F2D14C0"/>
    <w:rsid w:val="2F414F6C"/>
    <w:rsid w:val="2F571A37"/>
    <w:rsid w:val="2F584644"/>
    <w:rsid w:val="2F9B467C"/>
    <w:rsid w:val="2FAD0853"/>
    <w:rsid w:val="2FB432A3"/>
    <w:rsid w:val="2FBE62AB"/>
    <w:rsid w:val="2FFE27C4"/>
    <w:rsid w:val="301E721F"/>
    <w:rsid w:val="304C1E1A"/>
    <w:rsid w:val="305F5B1B"/>
    <w:rsid w:val="306A22A0"/>
    <w:rsid w:val="309D08C8"/>
    <w:rsid w:val="30A9101A"/>
    <w:rsid w:val="30CB2D3F"/>
    <w:rsid w:val="30F009F7"/>
    <w:rsid w:val="311566B0"/>
    <w:rsid w:val="311E06C5"/>
    <w:rsid w:val="3131055C"/>
    <w:rsid w:val="31322DBE"/>
    <w:rsid w:val="31374878"/>
    <w:rsid w:val="31495839"/>
    <w:rsid w:val="31581088"/>
    <w:rsid w:val="315F792B"/>
    <w:rsid w:val="318D6246"/>
    <w:rsid w:val="31CC4FC0"/>
    <w:rsid w:val="31D125D7"/>
    <w:rsid w:val="31DE4CF4"/>
    <w:rsid w:val="32364B30"/>
    <w:rsid w:val="324059AE"/>
    <w:rsid w:val="32456B21"/>
    <w:rsid w:val="324A618B"/>
    <w:rsid w:val="32562ADC"/>
    <w:rsid w:val="327613D0"/>
    <w:rsid w:val="32A221C5"/>
    <w:rsid w:val="32B66FEA"/>
    <w:rsid w:val="32C4038E"/>
    <w:rsid w:val="32C86B07"/>
    <w:rsid w:val="32CA00C0"/>
    <w:rsid w:val="330D3AE3"/>
    <w:rsid w:val="33321A6D"/>
    <w:rsid w:val="337673C6"/>
    <w:rsid w:val="337F6063"/>
    <w:rsid w:val="33B45D0C"/>
    <w:rsid w:val="33B662A7"/>
    <w:rsid w:val="33C87A09"/>
    <w:rsid w:val="33D20888"/>
    <w:rsid w:val="33DC5263"/>
    <w:rsid w:val="342F7A89"/>
    <w:rsid w:val="345E5AEC"/>
    <w:rsid w:val="34621C0C"/>
    <w:rsid w:val="3491604D"/>
    <w:rsid w:val="349F69BC"/>
    <w:rsid w:val="34BF0E0C"/>
    <w:rsid w:val="350C7C2D"/>
    <w:rsid w:val="35212B75"/>
    <w:rsid w:val="354B08F2"/>
    <w:rsid w:val="355A21B7"/>
    <w:rsid w:val="35AB1391"/>
    <w:rsid w:val="35E843C4"/>
    <w:rsid w:val="36056CF3"/>
    <w:rsid w:val="361E1B63"/>
    <w:rsid w:val="363B0967"/>
    <w:rsid w:val="363D46DF"/>
    <w:rsid w:val="366A4DA8"/>
    <w:rsid w:val="368C4D1E"/>
    <w:rsid w:val="36BC4A3E"/>
    <w:rsid w:val="36E2757E"/>
    <w:rsid w:val="36F86858"/>
    <w:rsid w:val="37357164"/>
    <w:rsid w:val="37372D05"/>
    <w:rsid w:val="37386C54"/>
    <w:rsid w:val="3759134A"/>
    <w:rsid w:val="3793066D"/>
    <w:rsid w:val="37A37D2B"/>
    <w:rsid w:val="37A66221"/>
    <w:rsid w:val="37B87D95"/>
    <w:rsid w:val="37BE35FD"/>
    <w:rsid w:val="37D44BCF"/>
    <w:rsid w:val="37DA2395"/>
    <w:rsid w:val="38013178"/>
    <w:rsid w:val="38156F95"/>
    <w:rsid w:val="38A65280"/>
    <w:rsid w:val="38A976F9"/>
    <w:rsid w:val="38D34E86"/>
    <w:rsid w:val="38D44AE9"/>
    <w:rsid w:val="394144E6"/>
    <w:rsid w:val="394F65A4"/>
    <w:rsid w:val="39581830"/>
    <w:rsid w:val="395D130E"/>
    <w:rsid w:val="39A84565"/>
    <w:rsid w:val="39BD78E5"/>
    <w:rsid w:val="3A443FB0"/>
    <w:rsid w:val="3A8F1281"/>
    <w:rsid w:val="3A9711AA"/>
    <w:rsid w:val="3A9C574C"/>
    <w:rsid w:val="3AA05F7C"/>
    <w:rsid w:val="3AB6680E"/>
    <w:rsid w:val="3AEF2434"/>
    <w:rsid w:val="3AF3073A"/>
    <w:rsid w:val="3AF61300"/>
    <w:rsid w:val="3B2C087E"/>
    <w:rsid w:val="3B710987"/>
    <w:rsid w:val="3BD80A06"/>
    <w:rsid w:val="3BDF0BC2"/>
    <w:rsid w:val="3C065573"/>
    <w:rsid w:val="3C0D4B53"/>
    <w:rsid w:val="3C8A07B9"/>
    <w:rsid w:val="3C8B3CCA"/>
    <w:rsid w:val="3CB274A9"/>
    <w:rsid w:val="3CDD2778"/>
    <w:rsid w:val="3CDE18FC"/>
    <w:rsid w:val="3CED228F"/>
    <w:rsid w:val="3CFE624A"/>
    <w:rsid w:val="3D22462E"/>
    <w:rsid w:val="3D59090C"/>
    <w:rsid w:val="3D5E4F3B"/>
    <w:rsid w:val="3D714C6E"/>
    <w:rsid w:val="3D8D4B8F"/>
    <w:rsid w:val="3D9D3CB5"/>
    <w:rsid w:val="3DA70690"/>
    <w:rsid w:val="3DC54FBA"/>
    <w:rsid w:val="3DFA1107"/>
    <w:rsid w:val="3E18158D"/>
    <w:rsid w:val="3E18333B"/>
    <w:rsid w:val="3E2717D1"/>
    <w:rsid w:val="3ED100BA"/>
    <w:rsid w:val="3EE85404"/>
    <w:rsid w:val="3EF35C06"/>
    <w:rsid w:val="3F0F1E5D"/>
    <w:rsid w:val="3F4976DB"/>
    <w:rsid w:val="3F4C5264"/>
    <w:rsid w:val="3F566811"/>
    <w:rsid w:val="3F7D2D21"/>
    <w:rsid w:val="3F892743"/>
    <w:rsid w:val="3FCE3CEB"/>
    <w:rsid w:val="3FD31C10"/>
    <w:rsid w:val="3FD64A32"/>
    <w:rsid w:val="3FD64CAF"/>
    <w:rsid w:val="40035773"/>
    <w:rsid w:val="40563D57"/>
    <w:rsid w:val="409B5345"/>
    <w:rsid w:val="40B545D8"/>
    <w:rsid w:val="40B6587A"/>
    <w:rsid w:val="40D51133"/>
    <w:rsid w:val="40D8567A"/>
    <w:rsid w:val="40F63E08"/>
    <w:rsid w:val="40FE0F0E"/>
    <w:rsid w:val="410302D3"/>
    <w:rsid w:val="41083B3B"/>
    <w:rsid w:val="41171FD0"/>
    <w:rsid w:val="41270465"/>
    <w:rsid w:val="41730316"/>
    <w:rsid w:val="418D13E5"/>
    <w:rsid w:val="418E2292"/>
    <w:rsid w:val="41AB5A4D"/>
    <w:rsid w:val="420A5691"/>
    <w:rsid w:val="422C3859"/>
    <w:rsid w:val="425E06BD"/>
    <w:rsid w:val="426E0C42"/>
    <w:rsid w:val="42DE2DA6"/>
    <w:rsid w:val="42F051E7"/>
    <w:rsid w:val="43104F29"/>
    <w:rsid w:val="43144A19"/>
    <w:rsid w:val="431612B1"/>
    <w:rsid w:val="432D5ADB"/>
    <w:rsid w:val="436F39FE"/>
    <w:rsid w:val="437332B8"/>
    <w:rsid w:val="43DB3173"/>
    <w:rsid w:val="43E066A9"/>
    <w:rsid w:val="442F3D6B"/>
    <w:rsid w:val="4437664E"/>
    <w:rsid w:val="443E75B0"/>
    <w:rsid w:val="445175A7"/>
    <w:rsid w:val="44775260"/>
    <w:rsid w:val="447D039C"/>
    <w:rsid w:val="44842511"/>
    <w:rsid w:val="44CB55AC"/>
    <w:rsid w:val="44FD512C"/>
    <w:rsid w:val="45286D33"/>
    <w:rsid w:val="4545710C"/>
    <w:rsid w:val="458A2D71"/>
    <w:rsid w:val="458F0387"/>
    <w:rsid w:val="45A831F7"/>
    <w:rsid w:val="45B93656"/>
    <w:rsid w:val="45BD34BD"/>
    <w:rsid w:val="45E10110"/>
    <w:rsid w:val="461B1C1B"/>
    <w:rsid w:val="461D2811"/>
    <w:rsid w:val="463827CD"/>
    <w:rsid w:val="46401681"/>
    <w:rsid w:val="464F276C"/>
    <w:rsid w:val="46671304"/>
    <w:rsid w:val="46BC33FE"/>
    <w:rsid w:val="46BD2949"/>
    <w:rsid w:val="46ED7A5B"/>
    <w:rsid w:val="47022DAA"/>
    <w:rsid w:val="471F2993"/>
    <w:rsid w:val="473C453F"/>
    <w:rsid w:val="4744614C"/>
    <w:rsid w:val="47613FA5"/>
    <w:rsid w:val="476A10AC"/>
    <w:rsid w:val="477B3A7A"/>
    <w:rsid w:val="47BB1907"/>
    <w:rsid w:val="47BE3FE1"/>
    <w:rsid w:val="47D72F1F"/>
    <w:rsid w:val="47D91D8D"/>
    <w:rsid w:val="47F77598"/>
    <w:rsid w:val="48345216"/>
    <w:rsid w:val="4854626F"/>
    <w:rsid w:val="48584A54"/>
    <w:rsid w:val="489908D9"/>
    <w:rsid w:val="48B85E47"/>
    <w:rsid w:val="48CE379D"/>
    <w:rsid w:val="4913307D"/>
    <w:rsid w:val="49261002"/>
    <w:rsid w:val="4929779B"/>
    <w:rsid w:val="4970227E"/>
    <w:rsid w:val="49804BB7"/>
    <w:rsid w:val="49843F7B"/>
    <w:rsid w:val="49A53A03"/>
    <w:rsid w:val="49BE56DF"/>
    <w:rsid w:val="49D942C7"/>
    <w:rsid w:val="4A0A49B9"/>
    <w:rsid w:val="4A247B4F"/>
    <w:rsid w:val="4A4D6BBD"/>
    <w:rsid w:val="4A871F75"/>
    <w:rsid w:val="4A9621B8"/>
    <w:rsid w:val="4B195983"/>
    <w:rsid w:val="4B234890"/>
    <w:rsid w:val="4B2679D8"/>
    <w:rsid w:val="4B49722A"/>
    <w:rsid w:val="4B7D6ED4"/>
    <w:rsid w:val="4BCD39B7"/>
    <w:rsid w:val="4BDD6412"/>
    <w:rsid w:val="4C003D8D"/>
    <w:rsid w:val="4C1415E6"/>
    <w:rsid w:val="4C286E40"/>
    <w:rsid w:val="4C4332C5"/>
    <w:rsid w:val="4C440B10"/>
    <w:rsid w:val="4C763733"/>
    <w:rsid w:val="4C8F3363"/>
    <w:rsid w:val="4CA74208"/>
    <w:rsid w:val="4CB8348C"/>
    <w:rsid w:val="4CCF550D"/>
    <w:rsid w:val="4CEA2347"/>
    <w:rsid w:val="4CEC60BF"/>
    <w:rsid w:val="4D5325E2"/>
    <w:rsid w:val="4D5C7716"/>
    <w:rsid w:val="4D6245D3"/>
    <w:rsid w:val="4D6420F9"/>
    <w:rsid w:val="4DB82EEB"/>
    <w:rsid w:val="4DEA1C5D"/>
    <w:rsid w:val="4E125FF9"/>
    <w:rsid w:val="4E141D71"/>
    <w:rsid w:val="4E295156"/>
    <w:rsid w:val="4E2E1C93"/>
    <w:rsid w:val="4E395AAD"/>
    <w:rsid w:val="4E6A7BE3"/>
    <w:rsid w:val="4E812B8A"/>
    <w:rsid w:val="4E9E5ADF"/>
    <w:rsid w:val="4EC02D8C"/>
    <w:rsid w:val="4EEF633A"/>
    <w:rsid w:val="4EF37BD9"/>
    <w:rsid w:val="4EFB4CDF"/>
    <w:rsid w:val="4F0C47F7"/>
    <w:rsid w:val="4F4D178A"/>
    <w:rsid w:val="4F834C4E"/>
    <w:rsid w:val="4FCE41A2"/>
    <w:rsid w:val="4FE319FB"/>
    <w:rsid w:val="50160BFC"/>
    <w:rsid w:val="50206BD9"/>
    <w:rsid w:val="503D6C09"/>
    <w:rsid w:val="5041514D"/>
    <w:rsid w:val="50664FFD"/>
    <w:rsid w:val="50BC224C"/>
    <w:rsid w:val="50BC3C3F"/>
    <w:rsid w:val="50D13F4A"/>
    <w:rsid w:val="50DE6667"/>
    <w:rsid w:val="50EC0D83"/>
    <w:rsid w:val="510D2AA8"/>
    <w:rsid w:val="51622DF4"/>
    <w:rsid w:val="51637BD3"/>
    <w:rsid w:val="51870AAC"/>
    <w:rsid w:val="51896008"/>
    <w:rsid w:val="519224E0"/>
    <w:rsid w:val="51A45FB9"/>
    <w:rsid w:val="51D35790"/>
    <w:rsid w:val="51E67581"/>
    <w:rsid w:val="51F92A80"/>
    <w:rsid w:val="52032274"/>
    <w:rsid w:val="52045C59"/>
    <w:rsid w:val="5212481A"/>
    <w:rsid w:val="522106C0"/>
    <w:rsid w:val="524D13AE"/>
    <w:rsid w:val="52597DAA"/>
    <w:rsid w:val="526606C2"/>
    <w:rsid w:val="526679D0"/>
    <w:rsid w:val="52727066"/>
    <w:rsid w:val="527728CF"/>
    <w:rsid w:val="52884E90"/>
    <w:rsid w:val="5288688A"/>
    <w:rsid w:val="528A46B6"/>
    <w:rsid w:val="52A5743C"/>
    <w:rsid w:val="52A766AC"/>
    <w:rsid w:val="52CF451B"/>
    <w:rsid w:val="52EC464B"/>
    <w:rsid w:val="5318131E"/>
    <w:rsid w:val="532A5B93"/>
    <w:rsid w:val="532C5467"/>
    <w:rsid w:val="533D58C6"/>
    <w:rsid w:val="53672943"/>
    <w:rsid w:val="53794425"/>
    <w:rsid w:val="537F318E"/>
    <w:rsid w:val="539B5C8F"/>
    <w:rsid w:val="53C5766A"/>
    <w:rsid w:val="543A3BB4"/>
    <w:rsid w:val="546F6837"/>
    <w:rsid w:val="54A51975"/>
    <w:rsid w:val="54A656ED"/>
    <w:rsid w:val="54C53DC5"/>
    <w:rsid w:val="54D04D38"/>
    <w:rsid w:val="54F77CF7"/>
    <w:rsid w:val="552D196B"/>
    <w:rsid w:val="553F2065"/>
    <w:rsid w:val="558A2919"/>
    <w:rsid w:val="55BF2CB4"/>
    <w:rsid w:val="55C40E60"/>
    <w:rsid w:val="560E7AD9"/>
    <w:rsid w:val="562B41EA"/>
    <w:rsid w:val="562C39D0"/>
    <w:rsid w:val="56310FE7"/>
    <w:rsid w:val="56521689"/>
    <w:rsid w:val="567B5F57"/>
    <w:rsid w:val="56837A94"/>
    <w:rsid w:val="568C6476"/>
    <w:rsid w:val="56A03577"/>
    <w:rsid w:val="56B02951"/>
    <w:rsid w:val="56BA0D62"/>
    <w:rsid w:val="56BE6D1E"/>
    <w:rsid w:val="56D23D87"/>
    <w:rsid w:val="56E6302E"/>
    <w:rsid w:val="56FE3E6C"/>
    <w:rsid w:val="57016C0B"/>
    <w:rsid w:val="5702284C"/>
    <w:rsid w:val="570B7F5B"/>
    <w:rsid w:val="57101C33"/>
    <w:rsid w:val="572D5C52"/>
    <w:rsid w:val="573F3A30"/>
    <w:rsid w:val="57405985"/>
    <w:rsid w:val="577473DD"/>
    <w:rsid w:val="577E64AD"/>
    <w:rsid w:val="578D66F1"/>
    <w:rsid w:val="57A314E8"/>
    <w:rsid w:val="57CA34A1"/>
    <w:rsid w:val="580B5F93"/>
    <w:rsid w:val="58135684"/>
    <w:rsid w:val="58445001"/>
    <w:rsid w:val="585B059D"/>
    <w:rsid w:val="587D6765"/>
    <w:rsid w:val="588B76C8"/>
    <w:rsid w:val="589C298A"/>
    <w:rsid w:val="58C65DE3"/>
    <w:rsid w:val="58CE6FC1"/>
    <w:rsid w:val="59253085"/>
    <w:rsid w:val="5940666D"/>
    <w:rsid w:val="5942752D"/>
    <w:rsid w:val="59730723"/>
    <w:rsid w:val="59777658"/>
    <w:rsid w:val="59853B23"/>
    <w:rsid w:val="59926240"/>
    <w:rsid w:val="59B36C6D"/>
    <w:rsid w:val="59BA1170"/>
    <w:rsid w:val="59CA59DA"/>
    <w:rsid w:val="59EE613A"/>
    <w:rsid w:val="5A0A04CC"/>
    <w:rsid w:val="5A3B2A23"/>
    <w:rsid w:val="5A47702B"/>
    <w:rsid w:val="5A544D38"/>
    <w:rsid w:val="5A737E20"/>
    <w:rsid w:val="5A743572"/>
    <w:rsid w:val="5A844B90"/>
    <w:rsid w:val="5A90452E"/>
    <w:rsid w:val="5AAD5F0B"/>
    <w:rsid w:val="5ABF12B7"/>
    <w:rsid w:val="5AD64BCD"/>
    <w:rsid w:val="5ADC7414"/>
    <w:rsid w:val="5AEB3E5A"/>
    <w:rsid w:val="5B2E6671"/>
    <w:rsid w:val="5B305D11"/>
    <w:rsid w:val="5B522A8C"/>
    <w:rsid w:val="5B5475A5"/>
    <w:rsid w:val="5B9B13DC"/>
    <w:rsid w:val="5BBA330F"/>
    <w:rsid w:val="5BFB1E7B"/>
    <w:rsid w:val="5C0A47B4"/>
    <w:rsid w:val="5C1118EC"/>
    <w:rsid w:val="5C1271C4"/>
    <w:rsid w:val="5C2C472A"/>
    <w:rsid w:val="5C462089"/>
    <w:rsid w:val="5C4725C6"/>
    <w:rsid w:val="5C5D2B35"/>
    <w:rsid w:val="5C997ECC"/>
    <w:rsid w:val="5C9F4EFC"/>
    <w:rsid w:val="5CA52605"/>
    <w:rsid w:val="5D000B53"/>
    <w:rsid w:val="5D1E6101"/>
    <w:rsid w:val="5D26620E"/>
    <w:rsid w:val="5D4D1EB7"/>
    <w:rsid w:val="5D574FF9"/>
    <w:rsid w:val="5D960D9E"/>
    <w:rsid w:val="5D9D1AEC"/>
    <w:rsid w:val="5DF23751"/>
    <w:rsid w:val="5E1F393E"/>
    <w:rsid w:val="5E371164"/>
    <w:rsid w:val="5E6A32E8"/>
    <w:rsid w:val="5E717818"/>
    <w:rsid w:val="5E79177D"/>
    <w:rsid w:val="5E9346DB"/>
    <w:rsid w:val="5EA246C8"/>
    <w:rsid w:val="5EBB2220"/>
    <w:rsid w:val="5EC628A8"/>
    <w:rsid w:val="5EF3322C"/>
    <w:rsid w:val="5EF547B6"/>
    <w:rsid w:val="5EFA0B0F"/>
    <w:rsid w:val="5F0C25F1"/>
    <w:rsid w:val="5F217E4A"/>
    <w:rsid w:val="5F5A0C98"/>
    <w:rsid w:val="5F5C70D4"/>
    <w:rsid w:val="5FAA42E4"/>
    <w:rsid w:val="5FFC08B7"/>
    <w:rsid w:val="604471B7"/>
    <w:rsid w:val="6089214B"/>
    <w:rsid w:val="60AB68A8"/>
    <w:rsid w:val="60E8140A"/>
    <w:rsid w:val="61201213"/>
    <w:rsid w:val="61202383"/>
    <w:rsid w:val="612834D5"/>
    <w:rsid w:val="619F599E"/>
    <w:rsid w:val="61B9094D"/>
    <w:rsid w:val="61CF2F7F"/>
    <w:rsid w:val="61CF4651"/>
    <w:rsid w:val="629B0697"/>
    <w:rsid w:val="62B9483E"/>
    <w:rsid w:val="62E87C38"/>
    <w:rsid w:val="62FB4E56"/>
    <w:rsid w:val="63220635"/>
    <w:rsid w:val="632443AD"/>
    <w:rsid w:val="633B16F7"/>
    <w:rsid w:val="63604CA7"/>
    <w:rsid w:val="636649C5"/>
    <w:rsid w:val="6397692D"/>
    <w:rsid w:val="63BA261B"/>
    <w:rsid w:val="63BD210C"/>
    <w:rsid w:val="63D1695E"/>
    <w:rsid w:val="63D556A7"/>
    <w:rsid w:val="63D731CD"/>
    <w:rsid w:val="63DF5E99"/>
    <w:rsid w:val="64323353"/>
    <w:rsid w:val="64414AEB"/>
    <w:rsid w:val="64833355"/>
    <w:rsid w:val="648342BD"/>
    <w:rsid w:val="6483767E"/>
    <w:rsid w:val="64A77593"/>
    <w:rsid w:val="64DE67DD"/>
    <w:rsid w:val="64F70FAB"/>
    <w:rsid w:val="650C334B"/>
    <w:rsid w:val="6525230A"/>
    <w:rsid w:val="65271F32"/>
    <w:rsid w:val="65405C9C"/>
    <w:rsid w:val="65532D27"/>
    <w:rsid w:val="65766A16"/>
    <w:rsid w:val="65781119"/>
    <w:rsid w:val="658B0713"/>
    <w:rsid w:val="6591171C"/>
    <w:rsid w:val="65BD73F9"/>
    <w:rsid w:val="662547D3"/>
    <w:rsid w:val="663A1E8D"/>
    <w:rsid w:val="663F131C"/>
    <w:rsid w:val="66417024"/>
    <w:rsid w:val="666920D7"/>
    <w:rsid w:val="666B4E26"/>
    <w:rsid w:val="667F57E5"/>
    <w:rsid w:val="66815672"/>
    <w:rsid w:val="66864359"/>
    <w:rsid w:val="668D1157"/>
    <w:rsid w:val="66A642C5"/>
    <w:rsid w:val="66B45A48"/>
    <w:rsid w:val="66C51A03"/>
    <w:rsid w:val="66ED1A86"/>
    <w:rsid w:val="66F429A7"/>
    <w:rsid w:val="671124E4"/>
    <w:rsid w:val="671C77AE"/>
    <w:rsid w:val="6751640F"/>
    <w:rsid w:val="675F3C06"/>
    <w:rsid w:val="67874F0A"/>
    <w:rsid w:val="67900263"/>
    <w:rsid w:val="67A85F79"/>
    <w:rsid w:val="67B0137D"/>
    <w:rsid w:val="67EE31DB"/>
    <w:rsid w:val="67F0485E"/>
    <w:rsid w:val="67FD6C95"/>
    <w:rsid w:val="681A18DB"/>
    <w:rsid w:val="683A7C65"/>
    <w:rsid w:val="683F2B36"/>
    <w:rsid w:val="68466FA3"/>
    <w:rsid w:val="68555008"/>
    <w:rsid w:val="68757459"/>
    <w:rsid w:val="689B6EBF"/>
    <w:rsid w:val="68C77CB4"/>
    <w:rsid w:val="68E32614"/>
    <w:rsid w:val="69164798"/>
    <w:rsid w:val="691B3B5C"/>
    <w:rsid w:val="69223395"/>
    <w:rsid w:val="697D4817"/>
    <w:rsid w:val="69960735"/>
    <w:rsid w:val="69A67ABF"/>
    <w:rsid w:val="69CE6E20"/>
    <w:rsid w:val="69E161EB"/>
    <w:rsid w:val="69EC374B"/>
    <w:rsid w:val="6A1929F1"/>
    <w:rsid w:val="6A49294B"/>
    <w:rsid w:val="6A9A6D03"/>
    <w:rsid w:val="6AA95198"/>
    <w:rsid w:val="6AD2649C"/>
    <w:rsid w:val="6AE85CC0"/>
    <w:rsid w:val="6B0B7C00"/>
    <w:rsid w:val="6B113937"/>
    <w:rsid w:val="6B1342AD"/>
    <w:rsid w:val="6B4B624F"/>
    <w:rsid w:val="6B625A72"/>
    <w:rsid w:val="6B706D8C"/>
    <w:rsid w:val="6B7E4876"/>
    <w:rsid w:val="6BD2519A"/>
    <w:rsid w:val="6BF22C25"/>
    <w:rsid w:val="6C472EBA"/>
    <w:rsid w:val="6C4C04D0"/>
    <w:rsid w:val="6C53185F"/>
    <w:rsid w:val="6C986EDC"/>
    <w:rsid w:val="6CA1680A"/>
    <w:rsid w:val="6CDE55CC"/>
    <w:rsid w:val="6CE801F9"/>
    <w:rsid w:val="6D0D08AA"/>
    <w:rsid w:val="6D154293"/>
    <w:rsid w:val="6D17288C"/>
    <w:rsid w:val="6D5E670D"/>
    <w:rsid w:val="6D7221B9"/>
    <w:rsid w:val="6DAC1727"/>
    <w:rsid w:val="6DB414C4"/>
    <w:rsid w:val="6DCD73EF"/>
    <w:rsid w:val="6DEF2FC0"/>
    <w:rsid w:val="6DF139EF"/>
    <w:rsid w:val="6E0A60A6"/>
    <w:rsid w:val="6E1D0376"/>
    <w:rsid w:val="6E335108"/>
    <w:rsid w:val="6E4B4EE4"/>
    <w:rsid w:val="6E52068C"/>
    <w:rsid w:val="6E713527"/>
    <w:rsid w:val="6E7A30D3"/>
    <w:rsid w:val="6E7C509D"/>
    <w:rsid w:val="6E9F6FDD"/>
    <w:rsid w:val="6EBD4F8E"/>
    <w:rsid w:val="6ED902E1"/>
    <w:rsid w:val="6F265009"/>
    <w:rsid w:val="6F400EA1"/>
    <w:rsid w:val="6F513CB1"/>
    <w:rsid w:val="6F775864"/>
    <w:rsid w:val="6F8166E3"/>
    <w:rsid w:val="6F9E1043"/>
    <w:rsid w:val="70627164"/>
    <w:rsid w:val="70635DB6"/>
    <w:rsid w:val="70C64CF5"/>
    <w:rsid w:val="70D2369A"/>
    <w:rsid w:val="70E76A1A"/>
    <w:rsid w:val="70E92277"/>
    <w:rsid w:val="71034E05"/>
    <w:rsid w:val="711A6DEF"/>
    <w:rsid w:val="71306613"/>
    <w:rsid w:val="713C6893"/>
    <w:rsid w:val="713F0604"/>
    <w:rsid w:val="71547124"/>
    <w:rsid w:val="715D103D"/>
    <w:rsid w:val="716360A0"/>
    <w:rsid w:val="71771B4C"/>
    <w:rsid w:val="71A32941"/>
    <w:rsid w:val="722F17E6"/>
    <w:rsid w:val="724E4FA2"/>
    <w:rsid w:val="72541E8D"/>
    <w:rsid w:val="725532EB"/>
    <w:rsid w:val="725D6F93"/>
    <w:rsid w:val="726245AA"/>
    <w:rsid w:val="72A03324"/>
    <w:rsid w:val="72A76461"/>
    <w:rsid w:val="72AB6377"/>
    <w:rsid w:val="72BC27EB"/>
    <w:rsid w:val="72C2329A"/>
    <w:rsid w:val="72C60FDD"/>
    <w:rsid w:val="72D8486C"/>
    <w:rsid w:val="73282E45"/>
    <w:rsid w:val="735474C8"/>
    <w:rsid w:val="735859AD"/>
    <w:rsid w:val="736A259F"/>
    <w:rsid w:val="737E18B7"/>
    <w:rsid w:val="738F5266"/>
    <w:rsid w:val="739764D5"/>
    <w:rsid w:val="73D414D7"/>
    <w:rsid w:val="73E1341B"/>
    <w:rsid w:val="73E32437"/>
    <w:rsid w:val="73E8275F"/>
    <w:rsid w:val="740C6EC3"/>
    <w:rsid w:val="741A5FDF"/>
    <w:rsid w:val="743D52CE"/>
    <w:rsid w:val="743E2DF5"/>
    <w:rsid w:val="74444063"/>
    <w:rsid w:val="745B39A7"/>
    <w:rsid w:val="746101E9"/>
    <w:rsid w:val="74687202"/>
    <w:rsid w:val="74940C67"/>
    <w:rsid w:val="74EA7CDB"/>
    <w:rsid w:val="74F7150C"/>
    <w:rsid w:val="75141264"/>
    <w:rsid w:val="7556504A"/>
    <w:rsid w:val="75596138"/>
    <w:rsid w:val="755C79D6"/>
    <w:rsid w:val="755E374E"/>
    <w:rsid w:val="756B7C19"/>
    <w:rsid w:val="757B6200"/>
    <w:rsid w:val="75961DB4"/>
    <w:rsid w:val="75970A0E"/>
    <w:rsid w:val="759E24FF"/>
    <w:rsid w:val="759E7FEF"/>
    <w:rsid w:val="75DB0D7F"/>
    <w:rsid w:val="760127BD"/>
    <w:rsid w:val="76041CFE"/>
    <w:rsid w:val="76124459"/>
    <w:rsid w:val="765E152C"/>
    <w:rsid w:val="76740D50"/>
    <w:rsid w:val="76CB5684"/>
    <w:rsid w:val="76CF41D8"/>
    <w:rsid w:val="77112CCE"/>
    <w:rsid w:val="77637314"/>
    <w:rsid w:val="77822510"/>
    <w:rsid w:val="77C27B23"/>
    <w:rsid w:val="77C41863"/>
    <w:rsid w:val="77C51FEF"/>
    <w:rsid w:val="77F45C6B"/>
    <w:rsid w:val="78000AED"/>
    <w:rsid w:val="7852180B"/>
    <w:rsid w:val="78755654"/>
    <w:rsid w:val="787768D5"/>
    <w:rsid w:val="78BB39CD"/>
    <w:rsid w:val="78CE55C7"/>
    <w:rsid w:val="78EC3915"/>
    <w:rsid w:val="79004B1D"/>
    <w:rsid w:val="792C5912"/>
    <w:rsid w:val="798C015E"/>
    <w:rsid w:val="79984D55"/>
    <w:rsid w:val="79AE5522"/>
    <w:rsid w:val="79B06543"/>
    <w:rsid w:val="79F226B7"/>
    <w:rsid w:val="79F91C98"/>
    <w:rsid w:val="7A036672"/>
    <w:rsid w:val="7A146AD1"/>
    <w:rsid w:val="7A320071"/>
    <w:rsid w:val="7A3727C0"/>
    <w:rsid w:val="7A406FE4"/>
    <w:rsid w:val="7A5A01EF"/>
    <w:rsid w:val="7A6E64D5"/>
    <w:rsid w:val="7A750010"/>
    <w:rsid w:val="7A772FBE"/>
    <w:rsid w:val="7A8018F8"/>
    <w:rsid w:val="7A861051"/>
    <w:rsid w:val="7A892904"/>
    <w:rsid w:val="7AA11F24"/>
    <w:rsid w:val="7AB43E11"/>
    <w:rsid w:val="7ABC4A73"/>
    <w:rsid w:val="7AF16E13"/>
    <w:rsid w:val="7AF83CFD"/>
    <w:rsid w:val="7B14665D"/>
    <w:rsid w:val="7B516210"/>
    <w:rsid w:val="7B5773BA"/>
    <w:rsid w:val="7BA24208"/>
    <w:rsid w:val="7BAB6FC2"/>
    <w:rsid w:val="7BB816DF"/>
    <w:rsid w:val="7BC85ABB"/>
    <w:rsid w:val="7BF5023D"/>
    <w:rsid w:val="7C005A73"/>
    <w:rsid w:val="7C053149"/>
    <w:rsid w:val="7C635AEE"/>
    <w:rsid w:val="7C72188D"/>
    <w:rsid w:val="7C84325A"/>
    <w:rsid w:val="7CA03293"/>
    <w:rsid w:val="7CAE40AD"/>
    <w:rsid w:val="7D1E1A15"/>
    <w:rsid w:val="7D8761AE"/>
    <w:rsid w:val="7DA55C93"/>
    <w:rsid w:val="7DB55ED6"/>
    <w:rsid w:val="7DF77FF2"/>
    <w:rsid w:val="7E130E4E"/>
    <w:rsid w:val="7E1846B6"/>
    <w:rsid w:val="7E19599C"/>
    <w:rsid w:val="7E3F60E7"/>
    <w:rsid w:val="7E700283"/>
    <w:rsid w:val="7E7F4735"/>
    <w:rsid w:val="7EBD2B47"/>
    <w:rsid w:val="7EC87E8B"/>
    <w:rsid w:val="7F2C666B"/>
    <w:rsid w:val="7F453289"/>
    <w:rsid w:val="7FCB14C8"/>
    <w:rsid w:val="7FEE392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semiHidden="0"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kern w:val="2"/>
      <w:sz w:val="21"/>
      <w:szCs w:val="22"/>
      <w:lang w:val="en-US" w:eastAsia="zh-CN" w:bidi="ar-SA"/>
    </w:rPr>
  </w:style>
  <w:style w:type="paragraph" w:styleId="3">
    <w:name w:val="heading 1"/>
    <w:basedOn w:val="1"/>
    <w:next w:val="1"/>
    <w:link w:val="15"/>
    <w:qFormat/>
    <w:uiPriority w:val="9"/>
    <w:pPr>
      <w:keepNext/>
      <w:keepLines/>
      <w:spacing w:before="0" w:after="0" w:line="578" w:lineRule="exact"/>
      <w:outlineLvl w:val="0"/>
    </w:pPr>
    <w:rPr>
      <w:rFonts w:ascii="Calibri" w:hAnsi="Calibri" w:eastAsia="方正小标宋简体"/>
      <w:bCs/>
      <w:kern w:val="44"/>
      <w:sz w:val="44"/>
      <w:szCs w:val="44"/>
    </w:rPr>
  </w:style>
  <w:style w:type="paragraph" w:styleId="4">
    <w:name w:val="heading 2"/>
    <w:basedOn w:val="1"/>
    <w:link w:val="16"/>
    <w:qFormat/>
    <w:uiPriority w:val="9"/>
    <w:pPr>
      <w:widowControl/>
      <w:spacing w:before="0" w:beforeAutospacing="0" w:after="0" w:afterAutospacing="0" w:line="578" w:lineRule="exact"/>
      <w:jc w:val="left"/>
      <w:outlineLvl w:val="1"/>
    </w:pPr>
    <w:rPr>
      <w:rFonts w:ascii="宋体" w:hAnsi="宋体" w:eastAsia="黑体" w:cs="宋体"/>
      <w:bCs/>
      <w:kern w:val="0"/>
      <w:sz w:val="32"/>
      <w:szCs w:val="36"/>
    </w:rPr>
  </w:style>
  <w:style w:type="character" w:default="1" w:styleId="13">
    <w:name w:val="Default Paragraph Font"/>
    <w:unhideWhenUsed/>
    <w:uiPriority w:val="1"/>
  </w:style>
  <w:style w:type="table" w:default="1" w:styleId="11">
    <w:name w:val="Normal Table"/>
    <w:unhideWhenUsed/>
    <w:qFormat/>
    <w:uiPriority w:val="99"/>
    <w:tblPr>
      <w:tblStyle w:val="11"/>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5">
    <w:name w:val="annotation text"/>
    <w:basedOn w:val="1"/>
    <w:unhideWhenUsed/>
    <w:uiPriority w:val="99"/>
    <w:pPr>
      <w:jc w:val="left"/>
    </w:pPr>
  </w:style>
  <w:style w:type="paragraph" w:styleId="6">
    <w:name w:val="Date"/>
    <w:basedOn w:val="1"/>
    <w:next w:val="1"/>
    <w:link w:val="17"/>
    <w:unhideWhenUsed/>
    <w:uiPriority w:val="99"/>
    <w:pPr>
      <w:ind w:left="100" w:leftChars="2500"/>
    </w:pPr>
  </w:style>
  <w:style w:type="paragraph" w:styleId="7">
    <w:name w:val="footer"/>
    <w:basedOn w:val="1"/>
    <w:link w:val="18"/>
    <w:unhideWhenUsed/>
    <w:uiPriority w:val="99"/>
    <w:pPr>
      <w:tabs>
        <w:tab w:val="center" w:pos="4153"/>
        <w:tab w:val="right" w:pos="8306"/>
      </w:tabs>
      <w:snapToGrid w:val="0"/>
      <w:jc w:val="left"/>
    </w:pPr>
    <w:rPr>
      <w:sz w:val="18"/>
      <w:szCs w:val="18"/>
    </w:rPr>
  </w:style>
  <w:style w:type="paragraph" w:styleId="8">
    <w:name w:val="header"/>
    <w:basedOn w:val="1"/>
    <w:link w:val="19"/>
    <w:unhideWhenUsed/>
    <w:uiPriority w:val="99"/>
    <w:pPr>
      <w:pBdr>
        <w:bottom w:val="single" w:color="auto" w:sz="6" w:space="1"/>
      </w:pBdr>
      <w:tabs>
        <w:tab w:val="center" w:pos="4153"/>
        <w:tab w:val="right" w:pos="8306"/>
      </w:tabs>
      <w:snapToGrid w:val="0"/>
      <w:jc w:val="center"/>
    </w:pPr>
    <w:rPr>
      <w:sz w:val="18"/>
      <w:szCs w:val="18"/>
    </w:rPr>
  </w:style>
  <w:style w:type="paragraph" w:styleId="9">
    <w:name w:val="toc 2"/>
    <w:basedOn w:val="1"/>
    <w:next w:val="1"/>
    <w:unhideWhenUsed/>
    <w:uiPriority w:val="39"/>
    <w:pPr>
      <w:ind w:left="420" w:leftChars="200"/>
    </w:pPr>
  </w:style>
  <w:style w:type="paragraph" w:styleId="10">
    <w:name w:val="Normal (Web)"/>
    <w:basedOn w:val="1"/>
    <w:unhideWhenUsed/>
    <w:uiPriority w:val="99"/>
    <w:pPr>
      <w:widowControl/>
      <w:spacing w:before="100" w:beforeAutospacing="1" w:after="100" w:afterAutospacing="1"/>
      <w:jc w:val="left"/>
    </w:pPr>
    <w:rPr>
      <w:rFonts w:ascii="宋体" w:hAnsi="宋体" w:cs="宋体"/>
      <w:kern w:val="0"/>
      <w:sz w:val="24"/>
      <w:szCs w:val="24"/>
    </w:rPr>
  </w:style>
  <w:style w:type="table" w:styleId="12">
    <w:name w:val="Table Grid"/>
    <w:basedOn w:val="11"/>
    <w:uiPriority w:val="59"/>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Hyperlink"/>
    <w:unhideWhenUsed/>
    <w:uiPriority w:val="99"/>
    <w:rPr>
      <w:color w:val="0000FF"/>
      <w:u w:val="single"/>
    </w:rPr>
  </w:style>
  <w:style w:type="character" w:customStyle="1" w:styleId="15">
    <w:name w:val="标题 1 Char"/>
    <w:link w:val="3"/>
    <w:uiPriority w:val="9"/>
    <w:rPr>
      <w:rFonts w:ascii="Calibri" w:hAnsi="Calibri" w:eastAsia="方正小标宋简体"/>
      <w:bCs/>
      <w:kern w:val="44"/>
      <w:sz w:val="44"/>
      <w:szCs w:val="44"/>
    </w:rPr>
  </w:style>
  <w:style w:type="character" w:customStyle="1" w:styleId="16">
    <w:name w:val="标题 2 Char"/>
    <w:link w:val="4"/>
    <w:uiPriority w:val="9"/>
    <w:rPr>
      <w:rFonts w:ascii="宋体" w:hAnsi="宋体" w:eastAsia="黑体" w:cs="宋体"/>
      <w:bCs/>
      <w:kern w:val="0"/>
      <w:sz w:val="32"/>
      <w:szCs w:val="36"/>
    </w:rPr>
  </w:style>
  <w:style w:type="character" w:customStyle="1" w:styleId="17">
    <w:name w:val="日期 Char"/>
    <w:link w:val="6"/>
    <w:semiHidden/>
    <w:uiPriority w:val="99"/>
    <w:rPr>
      <w:kern w:val="2"/>
      <w:sz w:val="21"/>
      <w:szCs w:val="22"/>
    </w:rPr>
  </w:style>
  <w:style w:type="character" w:customStyle="1" w:styleId="18">
    <w:name w:val="页脚 Char"/>
    <w:link w:val="7"/>
    <w:uiPriority w:val="99"/>
    <w:rPr>
      <w:sz w:val="18"/>
      <w:szCs w:val="18"/>
    </w:rPr>
  </w:style>
  <w:style w:type="character" w:customStyle="1" w:styleId="19">
    <w:name w:val="页眉 Char"/>
    <w:link w:val="8"/>
    <w:semiHidden/>
    <w:uiPriority w:val="99"/>
    <w:rPr>
      <w:sz w:val="18"/>
      <w:szCs w:val="18"/>
    </w:rPr>
  </w:style>
  <w:style w:type="paragraph" w:styleId="20">
    <w:name w:val=""/>
    <w:basedOn w:val="3"/>
    <w:next w:val="1"/>
    <w:unhideWhenUsed/>
    <w:qFormat/>
    <w:uiPriority w:val="39"/>
    <w:pPr>
      <w:widowControl/>
      <w:spacing w:before="480" w:after="0" w:line="276" w:lineRule="auto"/>
      <w:jc w:val="left"/>
      <w:outlineLvl w:val="9"/>
    </w:pPr>
    <w:rPr>
      <w:rFonts w:ascii="Cambria" w:hAnsi="Cambria" w:eastAsia="宋体" w:cs="Times New Roman"/>
      <w:color w:val="365F91"/>
      <w:kern w:val="0"/>
      <w:sz w:val="28"/>
      <w:szCs w:val="28"/>
    </w:rPr>
  </w:style>
  <w:style w:type="paragraph" w:customStyle="1" w:styleId="21">
    <w:name w:val="正文缩进1"/>
    <w:basedOn w:val="1"/>
    <w:qFormat/>
    <w:uiPriority w:val="0"/>
    <w:pPr>
      <w:ind w:firstLine="0" w:firstLineChars="0"/>
      <w:jc w:val="left"/>
    </w:pPr>
  </w:style>
  <w:style w:type="paragraph" w:customStyle="1" w:styleId="22">
    <w:name w:val="_Style 2"/>
    <w:basedOn w:val="3"/>
    <w:next w:val="1"/>
    <w:unhideWhenUsed/>
    <w:qFormat/>
    <w:uiPriority w:val="39"/>
    <w:pPr>
      <w:widowControl/>
      <w:spacing w:before="480" w:after="0" w:line="276" w:lineRule="auto"/>
      <w:jc w:val="left"/>
      <w:outlineLvl w:val="9"/>
    </w:pPr>
    <w:rPr>
      <w:rFonts w:ascii="Cambria" w:hAnsi="Cambria" w:eastAsia="宋体" w:cs="Times New Roman"/>
      <w:color w:val="365F91"/>
      <w:kern w:val="0"/>
      <w:sz w:val="28"/>
      <w:szCs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7</Pages>
  <Words>2935</Words>
  <Characters>2944</Characters>
  <Lines>34</Lines>
  <Paragraphs>9</Paragraphs>
  <TotalTime>5</TotalTime>
  <ScaleCrop>false</ScaleCrop>
  <LinksUpToDate>false</LinksUpToDate>
  <CharactersWithSpaces>2959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2014-12-21T04:10:00Z</dcterms:created>
  <dc:creator>张劲</dc:creator>
  <cp:lastModifiedBy>剑指诺曼底</cp:lastModifiedBy>
  <cp:lastPrinted>2025-07-11T02:52:40Z</cp:lastPrinted>
  <dcterms:modified xsi:type="dcterms:W3CDTF">2026-07-23T07:53:15Z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56406759DF994A29AA8486E349DC56AE_13</vt:lpwstr>
  </property>
  <property fmtid="{D5CDD505-2E9C-101B-9397-08002B2CF9AE}" pid="4" name="KSOTemplateDocerSaveRecord">
    <vt:lpwstr>eyJoZGlkIjoiMzViN2VhMWNlMjE2Y2NhZjM3YWQ1OWY3NGJhYWI3NzIiLCJ1c2VySWQiOiIzOTQ5MjA5MzEifQ==</vt:lpwstr>
  </property>
</Properties>
</file>